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5426E" w14:textId="77777777" w:rsidR="00907001" w:rsidRPr="00EE635B" w:rsidRDefault="007109E6" w:rsidP="0090700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Sağlıklı </w:t>
      </w:r>
      <w:r w:rsidR="00CB764B" w:rsidRPr="00EE635B">
        <w:rPr>
          <w:rFonts w:ascii="Times New Roman" w:hAnsi="Times New Roman"/>
          <w:b/>
          <w:color w:val="000000" w:themeColor="text1"/>
          <w:sz w:val="28"/>
          <w:szCs w:val="28"/>
        </w:rPr>
        <w:t>Hematopoie</w:t>
      </w:r>
      <w:r w:rsidR="00EC2F0C" w:rsidRPr="00EE635B">
        <w:rPr>
          <w:rFonts w:ascii="Times New Roman" w:hAnsi="Times New Roman"/>
          <w:b/>
          <w:color w:val="000000" w:themeColor="text1"/>
          <w:sz w:val="28"/>
          <w:szCs w:val="28"/>
        </w:rPr>
        <w:t>t</w:t>
      </w:r>
      <w:r w:rsidR="00CB764B" w:rsidRPr="00EE635B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EC2F0C"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k </w:t>
      </w:r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Kök Hücre </w:t>
      </w:r>
      <w:r w:rsidR="00EC2F0C" w:rsidRPr="00EE635B">
        <w:rPr>
          <w:rFonts w:ascii="Times New Roman" w:hAnsi="Times New Roman"/>
          <w:b/>
          <w:color w:val="000000" w:themeColor="text1"/>
          <w:sz w:val="28"/>
          <w:szCs w:val="28"/>
        </w:rPr>
        <w:t>Donörlerinde</w:t>
      </w:r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07001"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G-CSF </w:t>
      </w:r>
      <w:r w:rsidR="00EE635B" w:rsidRPr="00EE635B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907001"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le Mobilizasyon Sırasında Gelişen </w:t>
      </w:r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>Sem</w:t>
      </w:r>
      <w:r w:rsidR="00CB764B" w:rsidRPr="00EE635B">
        <w:rPr>
          <w:rFonts w:ascii="Times New Roman" w:hAnsi="Times New Roman"/>
          <w:b/>
          <w:color w:val="000000" w:themeColor="text1"/>
          <w:sz w:val="28"/>
          <w:szCs w:val="28"/>
        </w:rPr>
        <w:t>p</w:t>
      </w:r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tomatik Splenomegali </w:t>
      </w:r>
      <w:r w:rsidR="00EE635B" w:rsidRPr="00EE635B">
        <w:rPr>
          <w:rFonts w:ascii="Times New Roman" w:hAnsi="Times New Roman"/>
          <w:b/>
          <w:color w:val="000000" w:themeColor="text1"/>
          <w:sz w:val="28"/>
          <w:szCs w:val="28"/>
        </w:rPr>
        <w:t>v</w:t>
      </w:r>
      <w:r w:rsidR="00907001" w:rsidRPr="00EE635B">
        <w:rPr>
          <w:rFonts w:ascii="Times New Roman" w:hAnsi="Times New Roman"/>
          <w:b/>
          <w:color w:val="000000" w:themeColor="text1"/>
          <w:sz w:val="28"/>
          <w:szCs w:val="28"/>
        </w:rPr>
        <w:t>e Yönetimi</w:t>
      </w:r>
      <w:r w:rsidR="00BE2221" w:rsidRPr="00EE635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EE6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Donör Araştırma Takımı'nın (DART) Geriye Dönük Analizi</w:t>
      </w:r>
    </w:p>
    <w:p w14:paraId="5064224A" w14:textId="42CF65DE" w:rsidR="00907001" w:rsidRPr="00EE635B" w:rsidRDefault="00907001" w:rsidP="00907001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b/>
          <w:bCs/>
          <w:color w:val="000000" w:themeColor="text1"/>
          <w:sz w:val="24"/>
          <w:szCs w:val="24"/>
        </w:rPr>
        <w:t>Giriş ve Genel Bilgiler</w:t>
      </w:r>
    </w:p>
    <w:p w14:paraId="2C845A29" w14:textId="24BE8C43" w:rsidR="001D51FE" w:rsidRPr="00EE635B" w:rsidRDefault="00A06A01" w:rsidP="00907001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>Ç</w:t>
      </w:r>
      <w:r w:rsidR="00907001" w:rsidRPr="00EE635B">
        <w:rPr>
          <w:color w:val="000000" w:themeColor="text1"/>
        </w:rPr>
        <w:t>eşitli malignite</w:t>
      </w:r>
      <w:r w:rsidR="001D51FE" w:rsidRPr="00EE635B">
        <w:rPr>
          <w:color w:val="000000" w:themeColor="text1"/>
        </w:rPr>
        <w:t xml:space="preserve"> gelişen hastalarda</w:t>
      </w:r>
      <w:r w:rsidR="00EE635B" w:rsidRPr="00EE635B">
        <w:rPr>
          <w:color w:val="000000" w:themeColor="text1"/>
        </w:rPr>
        <w:t>,</w:t>
      </w:r>
      <w:r w:rsidR="001D51FE" w:rsidRPr="00EE635B">
        <w:rPr>
          <w:color w:val="000000" w:themeColor="text1"/>
        </w:rPr>
        <w:t xml:space="preserve"> </w:t>
      </w:r>
      <w:r w:rsidR="00907001" w:rsidRPr="00EE635B">
        <w:rPr>
          <w:color w:val="000000" w:themeColor="text1"/>
        </w:rPr>
        <w:t xml:space="preserve">sitotoksik kemoterapi </w:t>
      </w:r>
      <w:r w:rsidR="001D51FE" w:rsidRPr="00EE635B">
        <w:rPr>
          <w:color w:val="000000" w:themeColor="text1"/>
        </w:rPr>
        <w:t>sonrasında</w:t>
      </w:r>
      <w:r>
        <w:rPr>
          <w:color w:val="000000" w:themeColor="text1"/>
        </w:rPr>
        <w:t>,</w:t>
      </w:r>
      <w:r w:rsidR="001D51FE" w:rsidRPr="00EE635B">
        <w:rPr>
          <w:color w:val="000000" w:themeColor="text1"/>
        </w:rPr>
        <w:t xml:space="preserve"> ciddi </w:t>
      </w:r>
      <w:r>
        <w:rPr>
          <w:color w:val="000000" w:themeColor="text1"/>
        </w:rPr>
        <w:t xml:space="preserve">nötropeni, </w:t>
      </w:r>
      <w:r w:rsidR="001D51FE" w:rsidRPr="00EE635B">
        <w:rPr>
          <w:color w:val="000000" w:themeColor="text1"/>
        </w:rPr>
        <w:t>gelişimi beklenen</w:t>
      </w:r>
      <w:r>
        <w:rPr>
          <w:color w:val="000000" w:themeColor="text1"/>
        </w:rPr>
        <w:t xml:space="preserve"> ve </w:t>
      </w:r>
      <w:r w:rsidR="001D51FE" w:rsidRPr="00EE635B">
        <w:rPr>
          <w:color w:val="000000" w:themeColor="text1"/>
        </w:rPr>
        <w:t xml:space="preserve">önemli bir yan etkidir. </w:t>
      </w:r>
    </w:p>
    <w:p w14:paraId="6C83923C" w14:textId="77777777" w:rsidR="00907001" w:rsidRPr="00EE635B" w:rsidRDefault="00CD11F9" w:rsidP="00907001">
      <w:pPr>
        <w:pStyle w:val="NormalWeb"/>
        <w:jc w:val="both"/>
        <w:rPr>
          <w:color w:val="000000" w:themeColor="text1"/>
        </w:rPr>
      </w:pPr>
      <w:r w:rsidRPr="00EE635B">
        <w:rPr>
          <w:color w:val="000000" w:themeColor="text1"/>
        </w:rPr>
        <w:t>Granülosit koloni sitümülan faktör (</w:t>
      </w:r>
      <w:r w:rsidR="00907001" w:rsidRPr="00EE635B">
        <w:rPr>
          <w:color w:val="000000" w:themeColor="text1"/>
        </w:rPr>
        <w:t>G-CSF</w:t>
      </w:r>
      <w:r w:rsidRPr="00EE635B">
        <w:rPr>
          <w:color w:val="000000" w:themeColor="text1"/>
        </w:rPr>
        <w:t>)</w:t>
      </w:r>
      <w:r w:rsidR="00EE635B" w:rsidRPr="00EE635B">
        <w:rPr>
          <w:color w:val="000000" w:themeColor="text1"/>
        </w:rPr>
        <w:t xml:space="preserve"> (</w:t>
      </w:r>
      <w:r w:rsidR="007E1CC8" w:rsidRPr="00EE635B">
        <w:rPr>
          <w:color w:val="000000" w:themeColor="text1"/>
        </w:rPr>
        <w:t>çoğ</w:t>
      </w:r>
      <w:r w:rsidR="001D51FE" w:rsidRPr="00EE635B">
        <w:rPr>
          <w:color w:val="000000" w:themeColor="text1"/>
        </w:rPr>
        <w:t>u zaman filgrastrim</w:t>
      </w:r>
      <w:r w:rsidR="00EE635B" w:rsidRPr="00EE635B">
        <w:rPr>
          <w:color w:val="000000" w:themeColor="text1"/>
        </w:rPr>
        <w:t>)</w:t>
      </w:r>
      <w:r w:rsidR="001D51FE" w:rsidRPr="00EE635B">
        <w:rPr>
          <w:color w:val="000000" w:themeColor="text1"/>
        </w:rPr>
        <w:t xml:space="preserve">, </w:t>
      </w:r>
      <w:r w:rsidR="00907001" w:rsidRPr="00EE635B">
        <w:rPr>
          <w:color w:val="000000" w:themeColor="text1"/>
        </w:rPr>
        <w:t>nötrofil öncülerinin büyümesini, proliferasyonunu, farklılaşmasını ve olgunlaşmasını teşvik ederek nötropenik durumu düzeltmek için kullanılır.</w:t>
      </w:r>
      <w:r w:rsidR="00545B22" w:rsidRPr="00EE635B">
        <w:rPr>
          <w:color w:val="000000" w:themeColor="text1"/>
        </w:rPr>
        <w:t xml:space="preserve"> </w:t>
      </w:r>
      <w:r w:rsidR="003B58DE" w:rsidRPr="00EE635B">
        <w:rPr>
          <w:color w:val="000000" w:themeColor="text1"/>
        </w:rPr>
        <w:t>Granülosit koloni sitümülan faktör, perife</w:t>
      </w:r>
      <w:r w:rsidR="007E1CC8" w:rsidRPr="00EE635B">
        <w:rPr>
          <w:color w:val="000000" w:themeColor="text1"/>
        </w:rPr>
        <w:t>r</w:t>
      </w:r>
      <w:r w:rsidR="003B58DE" w:rsidRPr="00EE635B">
        <w:rPr>
          <w:color w:val="000000" w:themeColor="text1"/>
        </w:rPr>
        <w:t>ik kanda</w:t>
      </w:r>
      <w:r w:rsidR="000C3145">
        <w:rPr>
          <w:color w:val="000000" w:themeColor="text1"/>
        </w:rPr>
        <w:t xml:space="preserve"> lökosit sayısını </w:t>
      </w:r>
      <w:r w:rsidR="007E1CC8" w:rsidRPr="00EE635B">
        <w:rPr>
          <w:color w:val="000000" w:themeColor="text1"/>
        </w:rPr>
        <w:t>arttırmasının</w:t>
      </w:r>
      <w:r w:rsidR="003B58DE" w:rsidRPr="00EE635B">
        <w:rPr>
          <w:color w:val="000000" w:themeColor="text1"/>
        </w:rPr>
        <w:t xml:space="preserve"> </w:t>
      </w:r>
      <w:r w:rsidR="007E1CC8" w:rsidRPr="00EE635B">
        <w:rPr>
          <w:color w:val="000000" w:themeColor="text1"/>
        </w:rPr>
        <w:t xml:space="preserve">yanı sıra </w:t>
      </w:r>
      <w:r w:rsidR="00907001" w:rsidRPr="00EE635B">
        <w:rPr>
          <w:color w:val="000000" w:themeColor="text1"/>
        </w:rPr>
        <w:t>lökosit işlevsel kapasitesini</w:t>
      </w:r>
      <w:r w:rsidR="003B58DE" w:rsidRPr="00EE635B">
        <w:rPr>
          <w:color w:val="000000" w:themeColor="text1"/>
        </w:rPr>
        <w:t xml:space="preserve"> de</w:t>
      </w:r>
      <w:r w:rsidR="00907001" w:rsidRPr="00EE635B">
        <w:rPr>
          <w:color w:val="000000" w:themeColor="text1"/>
        </w:rPr>
        <w:t xml:space="preserve"> artırır. Hem otolog hem de allojenik kemik iliği nakli öncesinde</w:t>
      </w:r>
      <w:r w:rsidR="007E1CC8" w:rsidRPr="00EE635B">
        <w:rPr>
          <w:color w:val="000000" w:themeColor="text1"/>
        </w:rPr>
        <w:t xml:space="preserve"> hematopoie</w:t>
      </w:r>
      <w:r w:rsidR="003B58DE" w:rsidRPr="00EE635B">
        <w:rPr>
          <w:color w:val="000000" w:themeColor="text1"/>
        </w:rPr>
        <w:t>t</w:t>
      </w:r>
      <w:r w:rsidR="007E1CC8" w:rsidRPr="00EE635B">
        <w:rPr>
          <w:color w:val="000000" w:themeColor="text1"/>
        </w:rPr>
        <w:t>i</w:t>
      </w:r>
      <w:r w:rsidR="003B58DE" w:rsidRPr="00EE635B">
        <w:rPr>
          <w:color w:val="000000" w:themeColor="text1"/>
        </w:rPr>
        <w:t xml:space="preserve">k kök hücrelerin kemik iliğinden </w:t>
      </w:r>
      <w:r w:rsidR="00907001" w:rsidRPr="00EE635B">
        <w:rPr>
          <w:color w:val="000000" w:themeColor="text1"/>
        </w:rPr>
        <w:t>periferik kan kök hücrelerin</w:t>
      </w:r>
      <w:r w:rsidR="003B58DE" w:rsidRPr="00EE635B">
        <w:rPr>
          <w:color w:val="000000" w:themeColor="text1"/>
        </w:rPr>
        <w:t>e</w:t>
      </w:r>
      <w:r w:rsidR="00907001" w:rsidRPr="00EE635B">
        <w:rPr>
          <w:color w:val="000000" w:themeColor="text1"/>
        </w:rPr>
        <w:t xml:space="preserve"> </w:t>
      </w:r>
      <w:r w:rsidR="003B58DE" w:rsidRPr="00EE635B">
        <w:rPr>
          <w:color w:val="000000" w:themeColor="text1"/>
        </w:rPr>
        <w:t>g</w:t>
      </w:r>
      <w:r w:rsidR="007E1CC8" w:rsidRPr="00EE635B">
        <w:rPr>
          <w:color w:val="000000" w:themeColor="text1"/>
        </w:rPr>
        <w:t>eçmesini sağlamak için kullanı</w:t>
      </w:r>
      <w:r w:rsidR="00377430" w:rsidRPr="00EE635B">
        <w:rPr>
          <w:color w:val="000000" w:themeColor="text1"/>
        </w:rPr>
        <w:t>lan, mobilize edici bir ajandır</w:t>
      </w:r>
      <w:r w:rsidR="003B58DE" w:rsidRPr="00EE635B">
        <w:rPr>
          <w:color w:val="000000" w:themeColor="text1"/>
        </w:rPr>
        <w:t xml:space="preserve"> </w:t>
      </w:r>
      <w:r w:rsidR="00907001" w:rsidRPr="00EE635B">
        <w:rPr>
          <w:color w:val="000000" w:themeColor="text1"/>
        </w:rPr>
        <w:t xml:space="preserve">(1,2). </w:t>
      </w:r>
    </w:p>
    <w:p w14:paraId="0E8E029C" w14:textId="3D17BEAE" w:rsidR="00F03584" w:rsidRPr="00EE635B" w:rsidRDefault="00F03584" w:rsidP="009070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Mobi</w:t>
      </w:r>
      <w:r w:rsidR="0085539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ize edici ajanlar kök hücre toplanması amacıyla sağlıklı bireylerde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kullanıldığı için yan etkilerinin düşük ve 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güvenilir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olmaları isten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ir. Yaygın bir şekilde kullanılan 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orijinal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molekül filgastrim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amaç için kullanılan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en güvenli ajanlardan birisidir. Biobenzer filg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astim, lenog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astrim ve plerixafor diğer mobilize edici ajanlar arasında sayılır.</w:t>
      </w:r>
    </w:p>
    <w:p w14:paraId="7906C30E" w14:textId="3911292D" w:rsidR="003F4893" w:rsidRPr="00EE635B" w:rsidRDefault="00F03584" w:rsidP="009070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Yine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söz edilen mobilize 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ajanların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nadir</w:t>
      </w:r>
      <w:r w:rsidR="000C3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olsa erken dönemde yan etkileri olabilir. Bunlar arasında </w:t>
      </w:r>
      <w:r w:rsidR="0090700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halsizlik, kırgınlık, ateş, kemik, eklem ve baş ağrıları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sayılabilir.</w:t>
      </w:r>
      <w:r w:rsidR="0090700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Bazen G-CSF ilişkili trombositopeni görülebilir. Ancak bunların çoğu hafif derecede olup yönetilebilir durum</w:t>
      </w:r>
      <w:r w:rsidR="00545B22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dadır. </w:t>
      </w:r>
      <w:r w:rsidR="003F4893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Erken dönemde, daha nadir yan etkiler arasında, i</w:t>
      </w:r>
      <w:r w:rsidR="00545B22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nme, miyokard infaktüsü</w:t>
      </w:r>
      <w:r w:rsidR="003F4893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(%0.1)</w:t>
      </w:r>
      <w:r w:rsidR="0090700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</w:t>
      </w:r>
      <w:r w:rsidR="00545B22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i ciddi morbidite ve mortalite</w:t>
      </w:r>
      <w:r w:rsidR="0090700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ye yol açan yan etkiler</w:t>
      </w:r>
      <w:r w:rsidR="003F4893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bulunabilir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00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(3). </w:t>
      </w:r>
    </w:p>
    <w:p w14:paraId="1375EC9F" w14:textId="77777777" w:rsidR="00501AF5" w:rsidRPr="00EE635B" w:rsidRDefault="00907001" w:rsidP="00907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Mobilizasyon sırasında kullanılan G-CSF tedavisinin özellikle</w:t>
      </w:r>
      <w:r w:rsidR="0085539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39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-6. günlerinde dalak boyutunu geçici olarak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artırdığı</w:t>
      </w:r>
      <w:r w:rsidR="00855391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bildirilmiştir. Ancak, nadiren dalak büyüklüğü ile ilişkili sol üst kadranda ciddi karın ağrısı</w:t>
      </w:r>
      <w:r w:rsidR="00501AF5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, akut batın tablosu ve nadiren dalak rüptürü gelişebileceği rapor edilmektedir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6). Literatürde G-CSF’in </w:t>
      </w:r>
      <w:r w:rsidR="00501AF5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501AF5" w:rsidRPr="00EE635B">
        <w:rPr>
          <w:rFonts w:ascii="Times New Roman" w:hAnsi="Times New Roman"/>
          <w:color w:val="000000" w:themeColor="text1"/>
          <w:sz w:val="24"/>
          <w:szCs w:val="24"/>
        </w:rPr>
        <w:t>splenomegaliye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yol açabileceği bilinmesine rağmen bu ciddi komplik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syonun görülme oranı ve sıklığı artıracak risk faktörleri net olarak tanımlanmamıştır. </w:t>
      </w:r>
      <w:r w:rsidR="00501AF5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Verilerin nadir olmasından dolayı semptomatik </w:t>
      </w:r>
      <w:r w:rsidR="00501AF5" w:rsidRPr="00EE635B">
        <w:rPr>
          <w:rFonts w:ascii="Times New Roman" w:hAnsi="Times New Roman"/>
          <w:color w:val="000000" w:themeColor="text1"/>
          <w:sz w:val="24"/>
          <w:szCs w:val="24"/>
        </w:rPr>
        <w:t>splenomegalinin hazırlayıcı nedenleri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AF5" w:rsidRPr="00EE635B">
        <w:rPr>
          <w:rFonts w:ascii="Times New Roman" w:hAnsi="Times New Roman"/>
          <w:color w:val="000000" w:themeColor="text1"/>
          <w:sz w:val="24"/>
          <w:szCs w:val="24"/>
        </w:rPr>
        <w:t>de ortaya konamamıştır.</w:t>
      </w:r>
    </w:p>
    <w:p w14:paraId="2E033F0B" w14:textId="77777777" w:rsidR="00B17703" w:rsidRPr="00EE635B" w:rsidRDefault="00833FBB" w:rsidP="00907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Bu çalışmada, </w:t>
      </w:r>
      <w:r w:rsidR="00907001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sağlıklı kök hücre </w:t>
      </w:r>
      <w:r w:rsidR="00EC2F0C" w:rsidRPr="00EE635B">
        <w:rPr>
          <w:rFonts w:ascii="Times New Roman" w:hAnsi="Times New Roman"/>
          <w:color w:val="000000" w:themeColor="text1"/>
          <w:sz w:val="24"/>
          <w:szCs w:val="24"/>
        </w:rPr>
        <w:t>donörlerinde</w:t>
      </w:r>
      <w:r w:rsidR="00907001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G-CSF ile ilişkili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>splenomegali gelişme</w:t>
      </w:r>
      <w:r w:rsidR="00907001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sıklığının ve ri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>sk faktörlerinin belirlenmesi amaçlanmıştır.</w:t>
      </w:r>
    </w:p>
    <w:p w14:paraId="4D965413" w14:textId="77777777" w:rsidR="0015139F" w:rsidRPr="00EE635B" w:rsidRDefault="0015139F" w:rsidP="0090700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b/>
          <w:color w:val="000000" w:themeColor="text1"/>
          <w:sz w:val="24"/>
          <w:szCs w:val="24"/>
        </w:rPr>
        <w:t>Gereç ve Yöntem</w:t>
      </w:r>
    </w:p>
    <w:p w14:paraId="1B2436E5" w14:textId="77777777" w:rsidR="0015139F" w:rsidRPr="00EE635B" w:rsidRDefault="0015139F" w:rsidP="008207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</w:rPr>
        <w:t>Çalışma çok merkezli</w:t>
      </w:r>
      <w:r w:rsidR="00B17703" w:rsidRPr="00EE63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geriye dönük</w:t>
      </w:r>
      <w:r w:rsidR="00B17703" w:rsidRPr="00EE63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kesitsel bir kayıt çalışması olacaktır</w:t>
      </w:r>
      <w:r w:rsidRPr="00EE635B">
        <w:rPr>
          <w:rFonts w:ascii="Arial" w:hAnsi="Arial" w:cs="Arial"/>
          <w:b/>
          <w:color w:val="000000" w:themeColor="text1"/>
        </w:rPr>
        <w:t>.</w:t>
      </w:r>
      <w:r w:rsidR="00B943B0" w:rsidRPr="00EE635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17703" w:rsidRPr="00EE635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943B0" w:rsidRPr="00EE635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575AA86F" w14:textId="77777777" w:rsidR="00A350D6" w:rsidRPr="00EE635B" w:rsidRDefault="00A350D6" w:rsidP="0015139F">
      <w:pPr>
        <w:keepNext/>
        <w:jc w:val="both"/>
        <w:rPr>
          <w:rFonts w:ascii="Arial" w:hAnsi="Arial" w:cs="Arial"/>
          <w:b/>
          <w:color w:val="000000" w:themeColor="text1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Türk Hematoloji Derneği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(THD) Donör Araştırma Takımı (DART) çalışması olarak yürütülecektir. </w:t>
      </w:r>
    </w:p>
    <w:p w14:paraId="4BFCA1D6" w14:textId="012E212F" w:rsidR="0015139F" w:rsidRPr="00EE635B" w:rsidRDefault="0015139F" w:rsidP="0015139F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Çalışma Ocak 2010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71F3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Aral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ık 2020 dönemini kapsayacaktır.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Çalışma</w:t>
      </w:r>
      <w:r w:rsidR="00A06A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periferik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hematopoietik kök hücre mobilizasyonu ya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 kem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ik iliği toplama amacıyla G-CSF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kullanılan tüm 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pediatrik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ve erişkin akraba ve akraba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dışı donörleri kapsayacaktır. Bu donörlere ait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splenomegali sorgulanacaktır. Dalak rüptürü dahil olmak üzere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 verilerine ulaşılacaktır.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olan grup (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rup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1) ve olmayan bireyler (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Grup 2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çalışma grupları olarak alınacaktır. Donörler arasında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t>splenomegalinin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kaba oranı tespit edilecek ve grupla</w:t>
      </w:r>
      <w:r w:rsidR="0053122D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ın</w:t>
      </w:r>
      <w:r w:rsidR="0053122D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klinik özellikleri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tanımlanacaktır.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için hazırlayıcı nedenler bakımından gruplar karşılaştırılacaktır. </w:t>
      </w:r>
      <w:r w:rsidR="00DD797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splenomegalinin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yönetimine ait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veriler değerlendirilecektir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5D95DB8" w14:textId="77777777" w:rsidR="00DD797B" w:rsidRPr="00EE635B" w:rsidRDefault="007E1CC8" w:rsidP="0015139F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Bu amaç için yaklaşık 5000 </w:t>
      </w:r>
      <w:r w:rsidR="00DD797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donöre ait verilere ulaşılabileceği ön görülmektedir.</w:t>
      </w:r>
    </w:p>
    <w:p w14:paraId="6EED208D" w14:textId="77777777" w:rsidR="00EC2F0C" w:rsidRPr="00EE635B" w:rsidRDefault="00EC2F0C" w:rsidP="001513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Veri Toplama ve Güvenliği</w:t>
      </w:r>
    </w:p>
    <w:p w14:paraId="1A06B0B8" w14:textId="77777777" w:rsidR="00F56811" w:rsidRPr="00EE635B" w:rsidRDefault="00F56811" w:rsidP="0015139F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Akraba d</w:t>
      </w:r>
      <w:r w:rsidR="0015139F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onör 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verileri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çalışmaya katılacak merkezlerin elektronik bilgi yönetim sisteminden ya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hasta/donör dosyalarından alınacaktır.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Akrabadışı donör verileri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Türkiye Kök Hücre Koordinasyon Merkezi (</w:t>
      </w:r>
      <w:r w:rsidRPr="00EE635B">
        <w:rPr>
          <w:rStyle w:val="Vurgu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TÜRKÖK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veri tabanından alınacaktır</w:t>
      </w:r>
      <w:r w:rsidRPr="00EE63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Veri güvenliğinden projeye katılacak merkezlerin yürütücüleri sorumlu olacaktır. </w:t>
      </w:r>
    </w:p>
    <w:p w14:paraId="0DB6411D" w14:textId="61BBA871" w:rsidR="00211A45" w:rsidRPr="00EE635B" w:rsidRDefault="00F56811" w:rsidP="00A350D6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Toplanan veriler minimum donör temel verilerini kapsayacaktır. Bunlar kısaca; </w:t>
      </w:r>
      <w:r w:rsidR="00EE635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aş, cinsiyet, VKI, DM, hemoglobinopati, HT ve tromboz öyküsü yanı sıra alkol ve sigara kullanımı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</w:rPr>
        <w:t>splenomegali ve mobilizasyon öncesi lökosit sayısını kapsayacaktır.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Temel donör ver</w:t>
      </w:r>
      <w:r w:rsidR="007E1CC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leri dışında 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splenomegaliye bağlı semptomlar, mobilizasyon sonrası lökosit sayısı ve </w:t>
      </w:r>
      <w:r w:rsidR="00211A45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211A45" w:rsidRPr="00EE635B">
        <w:rPr>
          <w:rFonts w:ascii="Times New Roman" w:hAnsi="Times New Roman"/>
          <w:color w:val="000000" w:themeColor="text1"/>
          <w:sz w:val="24"/>
          <w:szCs w:val="24"/>
        </w:rPr>
        <w:t>splenomegalinin yönetimine ait  ilave veriler sorgulanacaktır.</w:t>
      </w:r>
    </w:p>
    <w:p w14:paraId="23ECA6D7" w14:textId="7739E2DF" w:rsidR="00211A45" w:rsidRPr="00EE635B" w:rsidRDefault="00211A45" w:rsidP="003725D3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Donör</w:t>
      </w:r>
      <w:r w:rsidR="0015139F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özellikleri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nin yanı sıra</w:t>
      </w:r>
      <w:r w:rsidR="00A06A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semptomatik</w:t>
      </w:r>
      <w:r w:rsidR="007E1CC8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splenomegali </w:t>
      </w:r>
      <w:r w:rsidR="0015139F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ile mobilizasyon sırasında kullanılan G-CSF’in dozu, kullanım süresi, frekansı arasında bir ilişki olup olmadığına yönelik analiz yapılacaktır. </w:t>
      </w:r>
    </w:p>
    <w:p w14:paraId="48C94D83" w14:textId="77777777" w:rsidR="00AC32D3" w:rsidRPr="00EE635B" w:rsidRDefault="00AC32D3" w:rsidP="00AC32D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İstatistik</w:t>
      </w:r>
    </w:p>
    <w:p w14:paraId="6DAF7866" w14:textId="3C5099B8" w:rsidR="00AC32D3" w:rsidRPr="00EE635B" w:rsidRDefault="00AC32D3" w:rsidP="00AC32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 bilgisayarda SPSS 22.0 programı (Version 22.0, SPSS Inc., Chicago, IL, USA) kullanılarak analiz edilecektir. Gruplar arası kıyaslamada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Mann-Whitney U testi kul</w:t>
      </w:r>
      <w:r w:rsidR="00A31944" w:rsidRPr="00EE63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lanılacaktır. Gruplar arasında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 farklar</w:t>
      </w:r>
      <w:r w:rsidR="00A31944" w:rsidRPr="00EE63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 kare ya da Fisher’ exact testi ile analiz edilecektir. </w:t>
      </w:r>
    </w:p>
    <w:p w14:paraId="7FAACAC6" w14:textId="77777777" w:rsidR="005D4D28" w:rsidRPr="00EE635B" w:rsidRDefault="00AC32D3" w:rsidP="00211A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Dalak rüptürünün gelişmesi ile ilişkili olan faktörler bir lojistik regresyon analizi ile analiz edilecektir.</w:t>
      </w:r>
    </w:p>
    <w:p w14:paraId="56321985" w14:textId="77777777" w:rsidR="005D4D28" w:rsidRPr="00EE635B" w:rsidRDefault="005D4D28" w:rsidP="00211A45">
      <w:pP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Merkez Seçme Kriteri</w:t>
      </w:r>
    </w:p>
    <w:p w14:paraId="5B09EC71" w14:textId="77777777" w:rsidR="005D4D28" w:rsidRPr="00EE635B" w:rsidRDefault="005D4D28" w:rsidP="00211A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Türkiye'de faaliyet gösteren ve allojenik hematopoietik kemik iliği nakli yapan tüm</w:t>
      </w:r>
      <w:r w:rsidR="006554DB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erişkin ve pediatrik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kemik iliği nakil merkezleri çalışmaya davet edilecektir.</w:t>
      </w:r>
    </w:p>
    <w:p w14:paraId="26C07ED3" w14:textId="77777777" w:rsidR="0082078E" w:rsidRPr="00EE635B" w:rsidRDefault="0015139F" w:rsidP="00A350D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Dışlama kriterleri: </w:t>
      </w:r>
      <w:r w:rsidR="00AC32D3" w:rsidRPr="00EE63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</w:t>
      </w:r>
      <w:r w:rsidRPr="00EE63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ayıt bilgileri eksik olan ve doğruluğu teyit edilemeyen </w:t>
      </w:r>
      <w:r w:rsidR="0047711A" w:rsidRPr="00EE63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donörler</w:t>
      </w:r>
      <w:r w:rsidR="00AC32D3" w:rsidRPr="00EE63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plerixafor kullananlar </w:t>
      </w:r>
      <w:r w:rsidRPr="00EE635B">
        <w:rPr>
          <w:rFonts w:ascii="Times New Roman" w:hAnsi="Times New Roman"/>
          <w:bCs/>
          <w:color w:val="000000" w:themeColor="text1"/>
          <w:sz w:val="24"/>
          <w:szCs w:val="24"/>
        </w:rPr>
        <w:t>çalışmadan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dışlanacaktır.</w:t>
      </w:r>
    </w:p>
    <w:p w14:paraId="41CE1AFA" w14:textId="02C178EE" w:rsidR="00B17703" w:rsidRPr="00EE635B" w:rsidRDefault="00B17703" w:rsidP="00B177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635B">
        <w:rPr>
          <w:rFonts w:ascii="Times New Roman" w:hAnsi="Times New Roman"/>
          <w:bCs/>
          <w:color w:val="000000" w:themeColor="text1"/>
          <w:sz w:val="24"/>
          <w:szCs w:val="24"/>
        </w:rPr>
        <w:t>Çalışma</w:t>
      </w:r>
      <w:r w:rsidR="00A06A0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EE6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Başkent Üniversitesi Tıp ve Sağlık Birimleri Araştırma Kurulunun onayı alındıktan sonra başlatılacaktır</w:t>
      </w:r>
      <w:r w:rsidRPr="00EE635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p w14:paraId="1AEDB6C0" w14:textId="77777777" w:rsidR="00EE635B" w:rsidRPr="00EE635B" w:rsidRDefault="00EE635B" w:rsidP="00B177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C8893A1" w14:textId="77777777" w:rsidR="00B17703" w:rsidRPr="00EE635B" w:rsidRDefault="00B071F3" w:rsidP="00B56062">
      <w:pPr>
        <w:keepNext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Araştırma Kurulundan onay alındıktan sonra THD'den çalışmaya katılacak merkezler için çağrı yapılacaktır. Katılacak merkezler beli</w:t>
      </w:r>
      <w:r w:rsidR="0047711A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rlendikten sonra her merkezden 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Multidisipliner Araştırmalar Ön 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eğerlendirme ve Onay Formunun</w:t>
      </w:r>
      <w:r w:rsidR="00EE635B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(Form MAODOF11-01) tamamlanması istenecektir.</w:t>
      </w:r>
      <w:r w:rsidR="0047711A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Nakil öncesinde donörlerin </w:t>
      </w:r>
      <w:r w:rsidR="0082078E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ver</w:t>
      </w:r>
      <w:r w:rsidR="0047711A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paylaşımı ve kullanımına ait </w:t>
      </w:r>
      <w:r w:rsidR="0082078E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verdikleri onam, çalışma için yeterli kabul edilecektir.</w:t>
      </w:r>
    </w:p>
    <w:p w14:paraId="0E9463F4" w14:textId="77777777" w:rsidR="0015139F" w:rsidRPr="00EE635B" w:rsidRDefault="0015139F" w:rsidP="001513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Beklentiler ve Bilimsel Katkılar</w:t>
      </w:r>
    </w:p>
    <w:p w14:paraId="6DCB40A9" w14:textId="7E0F91BD" w:rsidR="00BE5063" w:rsidRPr="00EE635B" w:rsidRDefault="009D6EB7" w:rsidP="009D6E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Türkiye verisi olarak bu çalışma kök hücre mobilizasyonunda nadir</w:t>
      </w:r>
      <w:r w:rsidR="00A06A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de olsa gelişebilen </w:t>
      </w:r>
      <w:r w:rsidR="00B56062"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7E52B6" w:rsidRPr="00EE635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B56062" w:rsidRPr="00EE635B">
        <w:rPr>
          <w:rFonts w:ascii="Times New Roman" w:hAnsi="Times New Roman"/>
          <w:color w:val="000000" w:themeColor="text1"/>
          <w:sz w:val="24"/>
          <w:szCs w:val="24"/>
        </w:rPr>
        <w:t>plenomegalinin gelişme sıklığı ortaya konacaktır,</w:t>
      </w:r>
    </w:p>
    <w:p w14:paraId="297C7600" w14:textId="77777777" w:rsidR="00BE5063" w:rsidRPr="00EE635B" w:rsidRDefault="00B56062" w:rsidP="009D6EB7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7E52B6" w:rsidRPr="00EE635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>plenomegali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ye ait </w:t>
      </w:r>
      <w:r w:rsidR="009D6EB7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risk faktörleri belirle</w:t>
      </w:r>
      <w:r w:rsidR="009D6EB7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</w:t>
      </w:r>
      <w:r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ecektir,</w:t>
      </w:r>
    </w:p>
    <w:p w14:paraId="26C7B957" w14:textId="77777777" w:rsidR="005D4D28" w:rsidRPr="00EE635B" w:rsidRDefault="00B56062" w:rsidP="009D6EB7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7E52B6" w:rsidRPr="00EE635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>plenomegali</w:t>
      </w:r>
      <w:r w:rsidR="005D4D28"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nin </w:t>
      </w:r>
      <w:r w:rsidR="009D6EB7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tedavi</w:t>
      </w:r>
      <w:r w:rsidR="009D6EB7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yönetimi</w:t>
      </w:r>
      <w:r w:rsidR="00545B22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n</w:t>
      </w:r>
      <w:r w:rsidR="005D4D28" w:rsidRPr="00EE63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e ait bilgiye ulaşılacaktır,</w:t>
      </w:r>
    </w:p>
    <w:p w14:paraId="571E0231" w14:textId="5348F5F0" w:rsidR="009D6EB7" w:rsidRPr="00EE635B" w:rsidRDefault="005D4D28" w:rsidP="0082078E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Semptomatik </w:t>
      </w:r>
      <w:r w:rsidR="007E52B6" w:rsidRPr="00EE635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>plenomegali riski</w:t>
      </w:r>
      <w:r w:rsidR="00A06A01">
        <w:rPr>
          <w:rFonts w:ascii="Times New Roman" w:hAnsi="Times New Roman"/>
          <w:color w:val="000000" w:themeColor="text1"/>
          <w:sz w:val="24"/>
          <w:szCs w:val="24"/>
        </w:rPr>
        <w:t xml:space="preserve"> ve </w:t>
      </w:r>
      <w:r w:rsidRPr="00EE635B">
        <w:rPr>
          <w:rFonts w:ascii="Times New Roman" w:hAnsi="Times New Roman"/>
          <w:color w:val="000000" w:themeColor="text1"/>
          <w:sz w:val="24"/>
          <w:szCs w:val="24"/>
        </w:rPr>
        <w:t xml:space="preserve"> bununla ilgili mortalite riskinin azaltılması mümkün olacaktır.</w:t>
      </w:r>
    </w:p>
    <w:p w14:paraId="3546E57F" w14:textId="77777777" w:rsidR="009D6EB7" w:rsidRPr="00EE635B" w:rsidRDefault="009D6EB7" w:rsidP="009D6EB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Kaynaklar</w:t>
      </w:r>
    </w:p>
    <w:p w14:paraId="7BDF0EDA" w14:textId="5D4B939C" w:rsidR="009D6EB7" w:rsidRPr="00EE635B" w:rsidRDefault="009D6EB7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cs="Times New Roman"/>
          <w:color w:val="000000" w:themeColor="text1"/>
        </w:rPr>
        <w:t>A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.M. Mac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Connachie. Colony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stimulating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factors: G-CSFs –Filgratim (Neupogen) and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Lenograstim (Granocyte). Intensive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and Critical Care</w:t>
      </w:r>
      <w:r w:rsidR="00A0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Nursing 1998; 14:49-50</w:t>
      </w:r>
    </w:p>
    <w:p w14:paraId="3749B99B" w14:textId="77777777" w:rsidR="009D6EB7" w:rsidRPr="00EE635B" w:rsidRDefault="009D6EB7" w:rsidP="00A350D6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24541" w14:textId="4A035A06" w:rsidR="009D6EB7" w:rsidRPr="00EE635B" w:rsidRDefault="009D6EB7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C.C. Borletts, M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Bosschaert, H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M. Vrehen, M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M.E. Schneider, J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Strijp, M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K.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Small,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et al. Effect of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escalating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doses of recombinant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granulocyte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colony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stimulating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factor (Filgrastim) on circulating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neutophils in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healthy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subjects. Clinical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Therapeutics 1998; 20:722-736.</w:t>
      </w:r>
    </w:p>
    <w:p w14:paraId="2F078F34" w14:textId="77777777" w:rsidR="009D6EB7" w:rsidRPr="00EE635B" w:rsidRDefault="009D6EB7" w:rsidP="00A350D6">
      <w:pPr>
        <w:pStyle w:val="ListeParagra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00D8765" w14:textId="346F4933" w:rsidR="009D6EB7" w:rsidRPr="00EE635B" w:rsidRDefault="009D6EB7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N.M. Nuamah, H. Goker, Y.A. Kilic, H. Dagmoura, A. Cakmak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Spontaneous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splenic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rupture in a healthy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allogeneic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donor of peripheral-blood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stem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cell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following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the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administration of granulocyte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colony-stimulating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factor (G-CSF). A case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report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and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review of the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literature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Haematologica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2006; 91: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p. ECR08</w:t>
      </w:r>
    </w:p>
    <w:p w14:paraId="32100ECD" w14:textId="77777777" w:rsidR="009D6EB7" w:rsidRPr="00EE635B" w:rsidRDefault="009D6EB7" w:rsidP="00A350D6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49189" w14:textId="356078F8" w:rsidR="009D6EB7" w:rsidRPr="00EE635B" w:rsidRDefault="00996C35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Veerapan,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M.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Morrison,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S.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Williams,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D.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Variakoji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s.</w:t>
      </w:r>
      <w:r>
        <w:t xml:space="preserve"> </w:t>
      </w:r>
      <w:hyperlink r:id="rId6" w:history="1"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Splenic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rupture in a patient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with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plasma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cell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myeloma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following G-CSF/GM-CSFadministration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for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stem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cell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transplantation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and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review of the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D6EB7" w:rsidRPr="00EE63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literature.</w:t>
        </w:r>
      </w:hyperlink>
      <w:r w:rsidR="009D6EB7"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D6EB7"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Bone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D6EB7"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MarrowTransplant. 2007;40:361-4.</w:t>
      </w:r>
    </w:p>
    <w:p w14:paraId="091FFE0E" w14:textId="77777777" w:rsidR="009D6EB7" w:rsidRPr="00EE635B" w:rsidRDefault="009D6EB7" w:rsidP="00A350D6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204ED" w14:textId="498FA46D" w:rsidR="009D6EB7" w:rsidRPr="00EE635B" w:rsidRDefault="009D6EB7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Stroncek, T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Shawker, D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Follmann, S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F.Leitman. G-CSF-induced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spleen size changes in peripheral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blood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progenitor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donors. Transfusion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2003;</w:t>
      </w:r>
      <w:r w:rsidR="0099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43:</w:t>
      </w:r>
      <w:r w:rsidRPr="00EE635B">
        <w:rPr>
          <w:rFonts w:ascii="Times New Roman" w:hAnsi="Times New Roman" w:cs="Times New Roman"/>
          <w:color w:val="000000" w:themeColor="text1"/>
          <w:sz w:val="24"/>
          <w:szCs w:val="24"/>
        </w:rPr>
        <w:t>609-13.</w:t>
      </w:r>
    </w:p>
    <w:p w14:paraId="6A63C785" w14:textId="77777777" w:rsidR="009D6EB7" w:rsidRPr="00EE635B" w:rsidRDefault="009D6EB7" w:rsidP="00A350D6">
      <w:pPr>
        <w:pStyle w:val="ListeParagra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0EA27D7" w14:textId="2DD61064" w:rsidR="009D6EB7" w:rsidRPr="00EE635B" w:rsidRDefault="009D6EB7" w:rsidP="00A350D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F. Falzetti, F. Aversa, O. Minelli, A. Tabilio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Spontaneous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rupture of spleen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during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peripheral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blood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stem-cell</w:t>
      </w:r>
      <w:r w:rsidR="00996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mobilization in a healthy</w:t>
      </w:r>
      <w:r w:rsidR="005B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donor</w:t>
      </w:r>
      <w:r w:rsidR="005B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Lancet </w:t>
      </w:r>
      <w:r w:rsidR="005B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1999; 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353</w:t>
      </w:r>
      <w:r w:rsidR="005B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</w:t>
      </w:r>
      <w:r w:rsidRPr="00EE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555</w:t>
      </w:r>
    </w:p>
    <w:p w14:paraId="02071383" w14:textId="77777777" w:rsidR="009D6EB7" w:rsidRPr="00EE635B" w:rsidRDefault="009D6EB7" w:rsidP="00A350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484491A" w14:textId="77777777" w:rsidR="00A350D6" w:rsidRPr="00EE635B" w:rsidRDefault="00A350D6" w:rsidP="00A350D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14:paraId="41F55359" w14:textId="77777777" w:rsidR="0015139F" w:rsidRPr="00EE635B" w:rsidRDefault="0015139F" w:rsidP="00A350D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B8B5332" w14:textId="77777777" w:rsidR="00907001" w:rsidRPr="00EE635B" w:rsidRDefault="00907001" w:rsidP="00A350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3AB83" w14:textId="77777777" w:rsidR="00907001" w:rsidRPr="00EE635B" w:rsidRDefault="00907001" w:rsidP="009070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7001" w:rsidRPr="00EE635B" w:rsidSect="00FC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628"/>
    <w:multiLevelType w:val="hybridMultilevel"/>
    <w:tmpl w:val="3A5C35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602"/>
    <w:multiLevelType w:val="hybridMultilevel"/>
    <w:tmpl w:val="CF00BA2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C2566"/>
    <w:multiLevelType w:val="hybridMultilevel"/>
    <w:tmpl w:val="E9CE017A"/>
    <w:lvl w:ilvl="0" w:tplc="0D6A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1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1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A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C7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3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E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4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E7214F"/>
    <w:multiLevelType w:val="hybridMultilevel"/>
    <w:tmpl w:val="28245F2E"/>
    <w:lvl w:ilvl="0" w:tplc="C28A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6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0B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2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4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8A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6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2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1C6251"/>
    <w:multiLevelType w:val="hybridMultilevel"/>
    <w:tmpl w:val="08CC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1"/>
    <w:rsid w:val="00042AC1"/>
    <w:rsid w:val="000620E4"/>
    <w:rsid w:val="00065C12"/>
    <w:rsid w:val="000C3145"/>
    <w:rsid w:val="001036C6"/>
    <w:rsid w:val="0015139F"/>
    <w:rsid w:val="00152816"/>
    <w:rsid w:val="001D51FE"/>
    <w:rsid w:val="00211A45"/>
    <w:rsid w:val="00227EBD"/>
    <w:rsid w:val="002772BD"/>
    <w:rsid w:val="003725D3"/>
    <w:rsid w:val="00377430"/>
    <w:rsid w:val="00383569"/>
    <w:rsid w:val="003B58DE"/>
    <w:rsid w:val="003F4893"/>
    <w:rsid w:val="00400E81"/>
    <w:rsid w:val="00411225"/>
    <w:rsid w:val="004320D2"/>
    <w:rsid w:val="0047711A"/>
    <w:rsid w:val="004917C2"/>
    <w:rsid w:val="00501AF5"/>
    <w:rsid w:val="005213DB"/>
    <w:rsid w:val="0053122D"/>
    <w:rsid w:val="00545B22"/>
    <w:rsid w:val="005A7BB9"/>
    <w:rsid w:val="005B084A"/>
    <w:rsid w:val="005D4D28"/>
    <w:rsid w:val="006554DB"/>
    <w:rsid w:val="007109E6"/>
    <w:rsid w:val="007213BC"/>
    <w:rsid w:val="007B29EA"/>
    <w:rsid w:val="007B51A3"/>
    <w:rsid w:val="007E1CC8"/>
    <w:rsid w:val="007E52B6"/>
    <w:rsid w:val="007F3613"/>
    <w:rsid w:val="0082078E"/>
    <w:rsid w:val="00833FBB"/>
    <w:rsid w:val="00850A69"/>
    <w:rsid w:val="00855391"/>
    <w:rsid w:val="00866C88"/>
    <w:rsid w:val="008C3EAB"/>
    <w:rsid w:val="008E3BDB"/>
    <w:rsid w:val="00906F58"/>
    <w:rsid w:val="00907001"/>
    <w:rsid w:val="00996C35"/>
    <w:rsid w:val="009D6EB7"/>
    <w:rsid w:val="009F79C4"/>
    <w:rsid w:val="00A06A01"/>
    <w:rsid w:val="00A31944"/>
    <w:rsid w:val="00A350D6"/>
    <w:rsid w:val="00AC32D3"/>
    <w:rsid w:val="00B071F3"/>
    <w:rsid w:val="00B17703"/>
    <w:rsid w:val="00B56062"/>
    <w:rsid w:val="00B65481"/>
    <w:rsid w:val="00B943B0"/>
    <w:rsid w:val="00BE2221"/>
    <w:rsid w:val="00BE5063"/>
    <w:rsid w:val="00C649BB"/>
    <w:rsid w:val="00CB764B"/>
    <w:rsid w:val="00CD11F9"/>
    <w:rsid w:val="00DD797B"/>
    <w:rsid w:val="00E23FFE"/>
    <w:rsid w:val="00E82F67"/>
    <w:rsid w:val="00EC2F0C"/>
    <w:rsid w:val="00EE635B"/>
    <w:rsid w:val="00F03584"/>
    <w:rsid w:val="00F52E42"/>
    <w:rsid w:val="00F56811"/>
    <w:rsid w:val="00F9224D"/>
    <w:rsid w:val="00FB7C33"/>
    <w:rsid w:val="00F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D6EB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56811"/>
    <w:rPr>
      <w:i/>
      <w:iCs/>
    </w:rPr>
  </w:style>
  <w:style w:type="character" w:styleId="Kpr">
    <w:name w:val="Hyperlink"/>
    <w:basedOn w:val="VarsaylanParagrafYazTipi"/>
    <w:uiPriority w:val="99"/>
    <w:unhideWhenUsed/>
    <w:rsid w:val="00EE6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D6EB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56811"/>
    <w:rPr>
      <w:i/>
      <w:iCs/>
    </w:rPr>
  </w:style>
  <w:style w:type="character" w:styleId="Kpr">
    <w:name w:val="Hyperlink"/>
    <w:basedOn w:val="VarsaylanParagrafYazTipi"/>
    <w:uiPriority w:val="99"/>
    <w:unhideWhenUsed/>
    <w:rsid w:val="00EE6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2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175637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Teoman</cp:lastModifiedBy>
  <cp:revision>2</cp:revision>
  <cp:lastPrinted>2021-02-26T05:08:00Z</cp:lastPrinted>
  <dcterms:created xsi:type="dcterms:W3CDTF">2021-04-20T14:38:00Z</dcterms:created>
  <dcterms:modified xsi:type="dcterms:W3CDTF">2021-04-20T14:38:00Z</dcterms:modified>
</cp:coreProperties>
</file>