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5D03" w14:textId="77777777" w:rsidR="0063149D" w:rsidRPr="00720D1C" w:rsidRDefault="004B677D">
      <w:pPr>
        <w:rPr>
          <w:b/>
          <w:color w:val="000000" w:themeColor="text1"/>
        </w:rPr>
      </w:pPr>
      <w:r w:rsidRPr="00720D1C">
        <w:rPr>
          <w:b/>
          <w:color w:val="000000" w:themeColor="text1"/>
        </w:rPr>
        <w:t>ERİŞKİN AKUT MİYELOİD LÖSEMİ (APL DIŞI) TANI VE TEDAVİ KLAVUZU</w:t>
      </w:r>
    </w:p>
    <w:p w14:paraId="23F92212" w14:textId="77777777" w:rsidR="004B677D" w:rsidRPr="00720D1C" w:rsidRDefault="004B677D">
      <w:pPr>
        <w:rPr>
          <w:color w:val="000000" w:themeColor="text1"/>
        </w:rPr>
      </w:pPr>
    </w:p>
    <w:p w14:paraId="279CC82F" w14:textId="77777777" w:rsidR="004B677D" w:rsidRPr="00720D1C" w:rsidRDefault="004B677D">
      <w:pPr>
        <w:rPr>
          <w:b/>
        </w:rPr>
      </w:pPr>
      <w:r w:rsidRPr="00720D1C">
        <w:rPr>
          <w:b/>
        </w:rPr>
        <w:t>Giriş:</w:t>
      </w:r>
    </w:p>
    <w:p w14:paraId="44B87D07" w14:textId="391DE6BA" w:rsidR="004B677D" w:rsidRDefault="00B67EFB">
      <w:r>
        <w:t xml:space="preserve">Akut miyeloid lösemi (AML) miyeloid blastların periferik kan, kemik iliği ve/veya diğer dokularda klonal ekspansiyonu ile karakterize heterojen hematolojik bir malignitedir. Erişkinlerde en sık görülen akut lösemi tipi olup </w:t>
      </w:r>
      <w:r w:rsidR="00A26825">
        <w:t>yaşa uyarlanmış insidansı popülasyonda 3.6/100.000’dir. Tanı anında medyan yaş 66 olup, yaşlı grupta insidans artar. Yeni teşhis AML olgularının %70’i 55 yaş üstüdür</w:t>
      </w:r>
      <w:r>
        <w:t>.</w:t>
      </w:r>
      <w:r w:rsidR="00720D1C">
        <w:t xml:space="preserve"> </w:t>
      </w:r>
      <w:r w:rsidR="00996B55">
        <w:t>Bu k</w:t>
      </w:r>
      <w:r w:rsidR="00720D1C">
        <w:t xml:space="preserve">lavuz son Amerika </w:t>
      </w:r>
      <w:r w:rsidR="009168D6">
        <w:t xml:space="preserve">ve </w:t>
      </w:r>
      <w:r w:rsidR="00720D1C">
        <w:t xml:space="preserve">Avrupa rehberleri </w:t>
      </w:r>
      <w:r w:rsidR="009168D6">
        <w:t xml:space="preserve">de </w:t>
      </w:r>
      <w:r w:rsidR="00720D1C">
        <w:t>göz önüne alınarak yeniden düzenlenmiştir. Akut promiyelositik lösemi (APL) önceki klavuz serisinde olduğu gibi davranışındaki ve tedavisindeki farklılıklar nedeni ile ayrı olarak ele alınmıştır.</w:t>
      </w:r>
    </w:p>
    <w:p w14:paraId="74A15A18" w14:textId="77777777" w:rsidR="00F107D7" w:rsidRDefault="00F107D7"/>
    <w:p w14:paraId="6D0A41C7" w14:textId="77777777" w:rsidR="00F107D7" w:rsidRPr="00D354CB" w:rsidRDefault="00F107D7">
      <w:pPr>
        <w:rPr>
          <w:b/>
        </w:rPr>
      </w:pPr>
      <w:r w:rsidRPr="00D354CB">
        <w:rPr>
          <w:b/>
        </w:rPr>
        <w:t>Tanı:</w:t>
      </w:r>
    </w:p>
    <w:p w14:paraId="3D8A6142" w14:textId="20A506C0" w:rsidR="00F107D7" w:rsidRDefault="00F107D7" w:rsidP="00F107D7">
      <w:pPr>
        <w:pStyle w:val="ListeParagraf"/>
        <w:numPr>
          <w:ilvl w:val="0"/>
          <w:numId w:val="1"/>
        </w:numPr>
      </w:pPr>
      <w:r>
        <w:t>Periferik kan yaymasında en az 200, partiküllü bir kemik iliği aspirasyon yaymasında en az 500 hücre sayılmalı</w:t>
      </w:r>
      <w:r w:rsidR="0011364B">
        <w:t>dır.</w:t>
      </w:r>
    </w:p>
    <w:p w14:paraId="00C20576" w14:textId="787E4EE1" w:rsidR="00F107D7" w:rsidRDefault="00F107D7" w:rsidP="00F107D7">
      <w:pPr>
        <w:pStyle w:val="ListeParagraf"/>
        <w:numPr>
          <w:ilvl w:val="0"/>
          <w:numId w:val="1"/>
        </w:numPr>
      </w:pPr>
      <w:r>
        <w:t xml:space="preserve">t(15;17), t(8;21), inv 16 veya t(16;16) hariç tanı için periferik kan veya kemik iliği blast yüzdesi  </w:t>
      </w:r>
      <w:r>
        <w:sym w:font="Symbol" w:char="F0B3"/>
      </w:r>
      <w:r>
        <w:t>%20 olmalı</w:t>
      </w:r>
      <w:r w:rsidR="0011364B">
        <w:t>dır.</w:t>
      </w:r>
    </w:p>
    <w:p w14:paraId="2E58233C" w14:textId="16009F26" w:rsidR="00F107D7" w:rsidRDefault="00F107D7" w:rsidP="00F107D7">
      <w:pPr>
        <w:pStyle w:val="ListeParagraf"/>
        <w:numPr>
          <w:ilvl w:val="0"/>
          <w:numId w:val="1"/>
        </w:numPr>
      </w:pPr>
      <w:r>
        <w:t>Miyeloblastlar, monoblastlar ve megakaryoblastlar blast yüzdesi içine dahil edilmeli</w:t>
      </w:r>
      <w:r w:rsidR="00904328">
        <w:t>dir.</w:t>
      </w:r>
    </w:p>
    <w:p w14:paraId="064C8473" w14:textId="7600B4B6" w:rsidR="00F107D7" w:rsidRDefault="00F107D7" w:rsidP="00F107D7">
      <w:pPr>
        <w:pStyle w:val="ListeParagraf"/>
        <w:numPr>
          <w:ilvl w:val="0"/>
          <w:numId w:val="1"/>
        </w:numPr>
      </w:pPr>
      <w:r>
        <w:t>Monositik ve Miyelomonositik lösemilerde monoblast ve promonositler blast eşdeğeri olarak sayılmalı ancak anormal monositler dahil edilmemeli</w:t>
      </w:r>
      <w:r w:rsidR="0011364B">
        <w:t>dir</w:t>
      </w:r>
      <w:r>
        <w:t>.</w:t>
      </w:r>
    </w:p>
    <w:p w14:paraId="5CDADE93" w14:textId="7A6AE722" w:rsidR="0011364B" w:rsidRDefault="0011364B" w:rsidP="00F107D7">
      <w:pPr>
        <w:pStyle w:val="ListeParagraf"/>
        <w:numPr>
          <w:ilvl w:val="0"/>
          <w:numId w:val="1"/>
        </w:numPr>
      </w:pPr>
      <w:r>
        <w:t xml:space="preserve">Yeni teşhis AML’lerin %30-50’sinde bulunan Auer çubukları (primer granüllerin bir araya gelmesi ile oluşmuş çubuk benzeri filamentler) AML </w:t>
      </w:r>
      <w:r w:rsidR="00513409">
        <w:t>teşhisi için ayrırt edici morfol</w:t>
      </w:r>
      <w:r>
        <w:t>ojik bir özelliktir.</w:t>
      </w:r>
    </w:p>
    <w:p w14:paraId="7231F3D1" w14:textId="48808832" w:rsidR="00513409" w:rsidRDefault="00A604F9" w:rsidP="00F107D7">
      <w:pPr>
        <w:pStyle w:val="ListeParagraf"/>
        <w:numPr>
          <w:ilvl w:val="0"/>
          <w:numId w:val="1"/>
        </w:numPr>
      </w:pPr>
      <w:r>
        <w:t xml:space="preserve">Morfolojik olarak blastların &gt;%3’ünün sitokimyasal MPO pozitif olması ve/veya Auer çubuklarının </w:t>
      </w:r>
      <w:r w:rsidR="00904328">
        <w:t>varlığı AML için tanısaldır</w:t>
      </w:r>
      <w:r>
        <w:t xml:space="preserve">. Ancak bu özelliklerin olmaması AML’yi dışlamaz. </w:t>
      </w:r>
    </w:p>
    <w:p w14:paraId="3044073A" w14:textId="3CD60700" w:rsidR="00BC1462" w:rsidRDefault="00BC1462" w:rsidP="00F107D7">
      <w:pPr>
        <w:pStyle w:val="ListeParagraf"/>
        <w:numPr>
          <w:ilvl w:val="0"/>
          <w:numId w:val="1"/>
        </w:numPr>
      </w:pPr>
      <w:r>
        <w:t>Morfolojik olarak %60 olguda tanı koyulabilirken tanının desteklenmesi ve netleştirilmesi için immünfenotiplemeden yararlanılmalıdır (flow sitometri).</w:t>
      </w:r>
    </w:p>
    <w:p w14:paraId="4081F1FA" w14:textId="77777777" w:rsidR="007152C1" w:rsidRDefault="007152C1" w:rsidP="007152C1"/>
    <w:p w14:paraId="542CDCDF" w14:textId="77777777" w:rsidR="007152C1" w:rsidRPr="00D354CB" w:rsidRDefault="007152C1" w:rsidP="007152C1">
      <w:pPr>
        <w:rPr>
          <w:b/>
        </w:rPr>
      </w:pPr>
      <w:r w:rsidRPr="00D354CB">
        <w:rPr>
          <w:b/>
        </w:rPr>
        <w:t xml:space="preserve">AML hastası için tanı aşamasında yapılması gereken testler: </w:t>
      </w:r>
    </w:p>
    <w:p w14:paraId="58223F76" w14:textId="05F5CF24" w:rsidR="0019536F" w:rsidRPr="00603A27" w:rsidRDefault="00603A27" w:rsidP="00603A27">
      <w:pPr>
        <w:ind w:firstLine="708"/>
      </w:pPr>
      <w:r w:rsidRPr="00603A27">
        <w:t xml:space="preserve">İlk değerlendirmede </w:t>
      </w:r>
      <w:r>
        <w:t>hastalığı karakterize eden faktörlerin (toksik madde maruziyeti, önceden var olan miyelodisplastik sendrom, karyotipik ya da moleküler anomaliler gibi kemoterapiye yanıtı ve nüks riskini etkileyebilecek prognostik değerlendirme sağlayan</w:t>
      </w:r>
      <w:r w:rsidR="00904328">
        <w:t xml:space="preserve"> veriler</w:t>
      </w:r>
      <w:r>
        <w:t>) ve hastanın kemoterapiye tolerabilitesini etkileyebilecek hasta ilişkili faktörlerin değerlendirmesi hedeflenir.</w:t>
      </w:r>
    </w:p>
    <w:p w14:paraId="34E973A6" w14:textId="27D2F19F" w:rsidR="0019536F" w:rsidRDefault="0019536F" w:rsidP="007152C1">
      <w:r>
        <w:t>Potansiyel germ dizi yatkınlığı yaratabilecek</w:t>
      </w:r>
      <w:r w:rsidR="00D354CB">
        <w:t xml:space="preserve"> miyeloid neoplazileri ve miyeloid neoplazilere öncülük edebilecek önceden var olan trombosit bozukluklarını tanımlayabilmek için ayrıntılı bir aile öyküsü ve kanama diyatezi öyküsü alınmalı</w:t>
      </w:r>
      <w:r w:rsidR="00BC1462">
        <w:t>dır.</w:t>
      </w:r>
    </w:p>
    <w:p w14:paraId="7B0682B7" w14:textId="35837C38" w:rsidR="0009749B" w:rsidRDefault="0009749B" w:rsidP="007152C1">
      <w:r>
        <w:t>Hastanın performans durumu değerlendirilmeli</w:t>
      </w:r>
      <w:r w:rsidR="00BC1462">
        <w:t>dir</w:t>
      </w:r>
      <w:r>
        <w:t xml:space="preserve"> (ECOG)</w:t>
      </w:r>
      <w:r w:rsidR="00BC1462">
        <w:t>.</w:t>
      </w:r>
    </w:p>
    <w:p w14:paraId="43D19766" w14:textId="104132BC" w:rsidR="0009749B" w:rsidRDefault="005A5FA0" w:rsidP="007152C1">
      <w:r>
        <w:t>Eşlik eden ko-morbid hastalıklar açısından ayrıntılı medikal öykü alınmalı</w:t>
      </w:r>
      <w:r w:rsidR="00BC1462">
        <w:t>dır.</w:t>
      </w:r>
    </w:p>
    <w:p w14:paraId="5AA9F3B4" w14:textId="42185DE9" w:rsidR="005A5FA0" w:rsidRDefault="00727D1F" w:rsidP="007152C1">
      <w:r>
        <w:t>Ardından aşağıdaki testler yapılmalı</w:t>
      </w:r>
      <w:r w:rsidR="00904328">
        <w:t>dır</w:t>
      </w:r>
      <w:r>
        <w:t>:</w:t>
      </w:r>
    </w:p>
    <w:p w14:paraId="44F71D74" w14:textId="77777777" w:rsidR="007152C1" w:rsidRDefault="00727D1F" w:rsidP="007152C1">
      <w:pPr>
        <w:pStyle w:val="ListeParagraf"/>
        <w:numPr>
          <w:ilvl w:val="0"/>
          <w:numId w:val="2"/>
        </w:numPr>
      </w:pPr>
      <w:r>
        <w:t>Tam kan sayımı, periferik yayma</w:t>
      </w:r>
    </w:p>
    <w:p w14:paraId="5731B58B" w14:textId="77777777" w:rsidR="00727D1F" w:rsidRDefault="00727D1F" w:rsidP="007152C1">
      <w:pPr>
        <w:pStyle w:val="ListeParagraf"/>
        <w:numPr>
          <w:ilvl w:val="0"/>
          <w:numId w:val="2"/>
        </w:numPr>
      </w:pPr>
      <w:r>
        <w:t>Kemik iliği aspirasyonu (partiküllü, iliği temsil edici)</w:t>
      </w:r>
    </w:p>
    <w:p w14:paraId="290E7D80" w14:textId="77777777" w:rsidR="00727D1F" w:rsidRDefault="00727D1F" w:rsidP="007152C1">
      <w:pPr>
        <w:pStyle w:val="ListeParagraf"/>
        <w:numPr>
          <w:ilvl w:val="0"/>
          <w:numId w:val="2"/>
        </w:numPr>
      </w:pPr>
      <w:r>
        <w:t>Yeterli partiküllü aspirasyon materyalinin çekilememesi durumunda kemik iliği biyopsisi, imprint</w:t>
      </w:r>
    </w:p>
    <w:p w14:paraId="2BF14F79" w14:textId="77777777" w:rsidR="00727D1F" w:rsidRDefault="00727D1F" w:rsidP="007152C1">
      <w:pPr>
        <w:pStyle w:val="ListeParagraf"/>
        <w:numPr>
          <w:ilvl w:val="0"/>
          <w:numId w:val="2"/>
        </w:numPr>
      </w:pPr>
      <w:r>
        <w:t>İmmünfenotipleme</w:t>
      </w:r>
    </w:p>
    <w:p w14:paraId="6382A2BB" w14:textId="77777777" w:rsidR="00727D1F" w:rsidRDefault="00727D1F" w:rsidP="007152C1">
      <w:pPr>
        <w:pStyle w:val="ListeParagraf"/>
        <w:numPr>
          <w:ilvl w:val="0"/>
          <w:numId w:val="2"/>
        </w:numPr>
      </w:pPr>
      <w:r>
        <w:t xml:space="preserve">Konvansiyonel sitogenetik (normal karyotipi </w:t>
      </w:r>
      <w:r w:rsidR="00137603">
        <w:t xml:space="preserve">ve anormal karyotipi net </w:t>
      </w:r>
      <w:r>
        <w:t>tanımlayabilmek için en az 20 metafaz değerlendirilmeli</w:t>
      </w:r>
      <w:r w:rsidR="00137603">
        <w:t>)</w:t>
      </w:r>
      <w:r w:rsidR="00E57442">
        <w:t xml:space="preserve"> </w:t>
      </w:r>
      <w:r w:rsidR="00E57442">
        <w:sym w:font="Symbol" w:char="F0B1"/>
      </w:r>
      <w:r w:rsidR="00E57442">
        <w:t xml:space="preserve"> FISH</w:t>
      </w:r>
    </w:p>
    <w:p w14:paraId="25A9CE9B" w14:textId="77777777" w:rsidR="00137603" w:rsidRDefault="00D32135" w:rsidP="007152C1">
      <w:pPr>
        <w:pStyle w:val="ListeParagraf"/>
        <w:numPr>
          <w:ilvl w:val="0"/>
          <w:numId w:val="2"/>
        </w:numPr>
      </w:pPr>
      <w:r>
        <w:lastRenderedPageBreak/>
        <w:t xml:space="preserve">Gen mutasyonları için </w:t>
      </w:r>
      <w:r w:rsidR="005E1789">
        <w:t xml:space="preserve">moleküler tarama </w:t>
      </w:r>
      <w:r w:rsidR="005E1789">
        <w:sym w:font="Symbol" w:char="F05B"/>
      </w:r>
      <w:r>
        <w:t>NPM1, CEBPA, FLT3</w:t>
      </w:r>
      <w:r w:rsidR="0073547F">
        <w:t xml:space="preserve"> (ITD ve TKD)</w:t>
      </w:r>
      <w:r w:rsidR="00E038BC">
        <w:t>, IDH1/IDH</w:t>
      </w:r>
      <w:r w:rsidR="00550598">
        <w:t xml:space="preserve">2, TP53, </w:t>
      </w:r>
      <w:r w:rsidR="00E038BC">
        <w:t>c-</w:t>
      </w:r>
      <w:r w:rsidR="00550598">
        <w:t>KİT</w:t>
      </w:r>
      <w:r w:rsidR="00E038BC">
        <w:sym w:font="Symbol" w:char="F05D"/>
      </w:r>
      <w:r w:rsidR="0073547F">
        <w:t xml:space="preserve"> </w:t>
      </w:r>
      <w:r w:rsidR="005E1789">
        <w:t>(yanlış negatifliği dışlamak adına periferik kanda minimum %10 blast var ise periferik kan da moleküler testlerin yapılması için kullanılabilir)</w:t>
      </w:r>
    </w:p>
    <w:p w14:paraId="7E67CEA5" w14:textId="77777777" w:rsidR="007C4F58" w:rsidRDefault="007C4F58" w:rsidP="007C4F58">
      <w:pPr>
        <w:pStyle w:val="ListeParagraf"/>
      </w:pPr>
      <w:r>
        <w:t xml:space="preserve">Not: Moleküler tetkiklerin yapılamadığı merkezlerde </w:t>
      </w:r>
      <w:r w:rsidR="00BF33D1">
        <w:t>DNA saklanması uygun olacaktır.</w:t>
      </w:r>
    </w:p>
    <w:p w14:paraId="6F6F94F0" w14:textId="77777777" w:rsidR="00BF33D1" w:rsidRDefault="00BF33D1" w:rsidP="00BF33D1">
      <w:pPr>
        <w:pStyle w:val="ListeParagraf"/>
        <w:numPr>
          <w:ilvl w:val="0"/>
          <w:numId w:val="2"/>
        </w:numPr>
      </w:pPr>
      <w:r>
        <w:t>Biyokimya (LDH, ürik asi</w:t>
      </w:r>
      <w:r w:rsidR="007062B2">
        <w:t>t</w:t>
      </w:r>
      <w:r w:rsidR="00436488">
        <w:t xml:space="preserve"> dahil), pıhtılaşma testleri (PT,</w:t>
      </w:r>
      <w:r w:rsidR="006234C9">
        <w:t xml:space="preserve"> </w:t>
      </w:r>
      <w:r w:rsidR="00436488">
        <w:t>aPTT,</w:t>
      </w:r>
      <w:r w:rsidR="006234C9">
        <w:t xml:space="preserve"> </w:t>
      </w:r>
      <w:r w:rsidR="00436488">
        <w:t xml:space="preserve">fibrinojen), </w:t>
      </w:r>
      <w:r w:rsidR="005013AA">
        <w:t>idrar analizi</w:t>
      </w:r>
    </w:p>
    <w:p w14:paraId="26B1A4EA" w14:textId="77777777" w:rsidR="005013AA" w:rsidRDefault="005013AA" w:rsidP="00BF33D1">
      <w:pPr>
        <w:pStyle w:val="ListeParagraf"/>
        <w:numPr>
          <w:ilvl w:val="0"/>
          <w:numId w:val="2"/>
        </w:numPr>
      </w:pPr>
      <w:r>
        <w:t>Gebelik testi</w:t>
      </w:r>
    </w:p>
    <w:p w14:paraId="081063E0" w14:textId="77777777" w:rsidR="005013AA" w:rsidRDefault="005013AA" w:rsidP="00BF33D1">
      <w:pPr>
        <w:pStyle w:val="ListeParagraf"/>
        <w:numPr>
          <w:ilvl w:val="0"/>
          <w:numId w:val="2"/>
        </w:numPr>
      </w:pPr>
      <w:r>
        <w:t>Hepatit A,</w:t>
      </w:r>
      <w:r w:rsidR="00E57442">
        <w:t xml:space="preserve"> </w:t>
      </w:r>
      <w:r>
        <w:t>B,</w:t>
      </w:r>
      <w:r w:rsidR="00E57442">
        <w:t xml:space="preserve"> </w:t>
      </w:r>
      <w:r>
        <w:t>C</w:t>
      </w:r>
      <w:r w:rsidR="00E478CA">
        <w:t>, HIV</w:t>
      </w:r>
    </w:p>
    <w:p w14:paraId="77D44B0F" w14:textId="77777777" w:rsidR="006234C9" w:rsidRDefault="006234C9" w:rsidP="00BF33D1">
      <w:pPr>
        <w:pStyle w:val="ListeParagraf"/>
        <w:numPr>
          <w:ilvl w:val="0"/>
          <w:numId w:val="2"/>
        </w:numPr>
      </w:pPr>
      <w:r>
        <w:t>PA AC grafisi</w:t>
      </w:r>
    </w:p>
    <w:p w14:paraId="2650719E" w14:textId="77777777" w:rsidR="006234C9" w:rsidRDefault="006234C9" w:rsidP="00BF33D1">
      <w:pPr>
        <w:pStyle w:val="ListeParagraf"/>
        <w:numPr>
          <w:ilvl w:val="0"/>
          <w:numId w:val="2"/>
        </w:numPr>
      </w:pPr>
      <w:r>
        <w:t>EKG ve EKO</w:t>
      </w:r>
    </w:p>
    <w:p w14:paraId="772374EA" w14:textId="77777777" w:rsidR="00014D1B" w:rsidRDefault="00014D1B" w:rsidP="00BF33D1">
      <w:pPr>
        <w:pStyle w:val="ListeParagraf"/>
        <w:numPr>
          <w:ilvl w:val="0"/>
          <w:numId w:val="2"/>
        </w:numPr>
      </w:pPr>
      <w:r>
        <w:t>HLA doku tiplendirmesi</w:t>
      </w:r>
    </w:p>
    <w:p w14:paraId="26492FE4" w14:textId="77777777" w:rsidR="00014D1B" w:rsidRDefault="00014D1B" w:rsidP="00BF33D1">
      <w:pPr>
        <w:pStyle w:val="ListeParagraf"/>
        <w:numPr>
          <w:ilvl w:val="0"/>
          <w:numId w:val="2"/>
        </w:numPr>
      </w:pPr>
      <w:r>
        <w:t>Lomber ponksiyon (nörolojik bulgular varlığında)</w:t>
      </w:r>
    </w:p>
    <w:p w14:paraId="60BF1378" w14:textId="77777777" w:rsidR="00350D77" w:rsidRDefault="00350D77" w:rsidP="00BF33D1">
      <w:pPr>
        <w:pStyle w:val="ListeParagraf"/>
        <w:numPr>
          <w:ilvl w:val="0"/>
          <w:numId w:val="2"/>
        </w:numPr>
        <w:rPr>
          <w:color w:val="FF0000"/>
        </w:rPr>
      </w:pPr>
      <w:r w:rsidRPr="00350D77">
        <w:rPr>
          <w:color w:val="FF0000"/>
        </w:rPr>
        <w:t>Ekstramedüller hastalık varlığından şüpheleniyor ise PET-BT</w:t>
      </w:r>
    </w:p>
    <w:p w14:paraId="781C2E92" w14:textId="12012B47" w:rsidR="00604003" w:rsidRDefault="00604003" w:rsidP="00BF33D1">
      <w:pPr>
        <w:pStyle w:val="ListeParagraf"/>
        <w:numPr>
          <w:ilvl w:val="0"/>
          <w:numId w:val="2"/>
        </w:numPr>
        <w:rPr>
          <w:color w:val="000000" w:themeColor="text1"/>
        </w:rPr>
      </w:pPr>
      <w:r w:rsidRPr="00604003">
        <w:rPr>
          <w:color w:val="000000" w:themeColor="text1"/>
        </w:rPr>
        <w:t>Periferik damar yolu problemi olan olgularda santral venöz kateter</w:t>
      </w:r>
    </w:p>
    <w:p w14:paraId="53088F07" w14:textId="0A63E633" w:rsidR="00F8245E" w:rsidRDefault="00F8245E" w:rsidP="00BF33D1">
      <w:pPr>
        <w:pStyle w:val="ListeParagraf"/>
        <w:numPr>
          <w:ilvl w:val="0"/>
          <w:numId w:val="2"/>
        </w:numPr>
        <w:rPr>
          <w:color w:val="000000" w:themeColor="text1"/>
        </w:rPr>
      </w:pPr>
      <w:r>
        <w:rPr>
          <w:color w:val="000000" w:themeColor="text1"/>
        </w:rPr>
        <w:t>Lösemik menenjitten şüpheleniliyor ise beyin MRI</w:t>
      </w:r>
    </w:p>
    <w:p w14:paraId="401C579E" w14:textId="77777777" w:rsidR="00126991" w:rsidRDefault="00126991" w:rsidP="00126991">
      <w:pPr>
        <w:pStyle w:val="ListeParagraf"/>
        <w:rPr>
          <w:color w:val="000000" w:themeColor="text1"/>
        </w:rPr>
      </w:pPr>
    </w:p>
    <w:p w14:paraId="0F3F2B91" w14:textId="77777777" w:rsidR="00126991" w:rsidRDefault="00126991" w:rsidP="00126991">
      <w:pPr>
        <w:pStyle w:val="ListeParagraf"/>
        <w:rPr>
          <w:color w:val="000000" w:themeColor="text1"/>
        </w:rPr>
      </w:pPr>
    </w:p>
    <w:p w14:paraId="4E5DBD9A" w14:textId="4DE42C84" w:rsidR="00B442FE" w:rsidRDefault="00126991" w:rsidP="00B442FE">
      <w:pPr>
        <w:rPr>
          <w:color w:val="000000" w:themeColor="text1"/>
        </w:rPr>
      </w:pPr>
      <w:r>
        <w:rPr>
          <w:color w:val="000000" w:themeColor="text1"/>
        </w:rPr>
        <w:t>Tablo1: AML ve miks fenotipik akut lösemi teşhisinde kullanılan hücre-yüzey ve sitoplazmik belirteçler</w:t>
      </w:r>
      <w:r w:rsidR="00834D09">
        <w:rPr>
          <w:color w:val="000000" w:themeColor="text1"/>
        </w:rPr>
        <w:t xml:space="preserve"> </w:t>
      </w:r>
      <w:r w:rsidR="00834D09" w:rsidRPr="00834D09">
        <w:rPr>
          <w:color w:val="000000" w:themeColor="text1"/>
          <w:sz w:val="16"/>
          <w:szCs w:val="16"/>
        </w:rPr>
        <w:t>(2017 ELN AML önerilerinden çevrilmiştir).</w:t>
      </w:r>
    </w:p>
    <w:tbl>
      <w:tblPr>
        <w:tblStyle w:val="TabloKlavuzu"/>
        <w:tblW w:w="0" w:type="auto"/>
        <w:tblLook w:val="04A0" w:firstRow="1" w:lastRow="0" w:firstColumn="1" w:lastColumn="0" w:noHBand="0" w:noVBand="1"/>
      </w:tblPr>
      <w:tblGrid>
        <w:gridCol w:w="2547"/>
        <w:gridCol w:w="6509"/>
      </w:tblGrid>
      <w:tr w:rsidR="00C22B33" w14:paraId="27FFC441" w14:textId="77777777" w:rsidTr="00071C6C">
        <w:tc>
          <w:tcPr>
            <w:tcW w:w="0" w:type="auto"/>
            <w:gridSpan w:val="2"/>
          </w:tcPr>
          <w:p w14:paraId="7CECEAFC" w14:textId="2171C7BC" w:rsidR="00126991" w:rsidRPr="00126991" w:rsidRDefault="00126991" w:rsidP="00B442FE">
            <w:pPr>
              <w:rPr>
                <w:b/>
                <w:color w:val="000000" w:themeColor="text1"/>
              </w:rPr>
            </w:pPr>
            <w:r w:rsidRPr="00126991">
              <w:rPr>
                <w:b/>
                <w:color w:val="000000" w:themeColor="text1"/>
              </w:rPr>
              <w:t>AML teşhisi</w:t>
            </w:r>
            <w:r w:rsidR="00EB0327">
              <w:rPr>
                <w:b/>
                <w:color w:val="000000" w:themeColor="text1"/>
              </w:rPr>
              <w:t xml:space="preserve"> (Avrupa Lösemi Ağı önerilerine göre)</w:t>
            </w:r>
          </w:p>
        </w:tc>
      </w:tr>
      <w:tr w:rsidR="00126991" w14:paraId="1A3A3E30" w14:textId="77777777" w:rsidTr="00FC16B0">
        <w:tc>
          <w:tcPr>
            <w:tcW w:w="2547" w:type="dxa"/>
          </w:tcPr>
          <w:p w14:paraId="1A18AB16" w14:textId="00AEAFFB" w:rsidR="00126991" w:rsidRPr="00FC16B0" w:rsidRDefault="00126991" w:rsidP="00B442FE">
            <w:pPr>
              <w:rPr>
                <w:color w:val="000000" w:themeColor="text1"/>
                <w:vertAlign w:val="superscript"/>
              </w:rPr>
            </w:pPr>
            <w:r w:rsidRPr="00126991">
              <w:rPr>
                <w:color w:val="000000" w:themeColor="text1"/>
              </w:rPr>
              <w:t>Prekürsörler</w:t>
            </w:r>
            <w:r w:rsidR="00FC16B0">
              <w:rPr>
                <w:color w:val="000000" w:themeColor="text1"/>
                <w:vertAlign w:val="superscript"/>
              </w:rPr>
              <w:t>a</w:t>
            </w:r>
          </w:p>
        </w:tc>
        <w:tc>
          <w:tcPr>
            <w:tcW w:w="6509" w:type="dxa"/>
          </w:tcPr>
          <w:p w14:paraId="3F682AAE" w14:textId="7FFF127F" w:rsidR="00126991" w:rsidRPr="00126991" w:rsidRDefault="00126991" w:rsidP="00B442FE">
            <w:pPr>
              <w:rPr>
                <w:color w:val="000000" w:themeColor="text1"/>
              </w:rPr>
            </w:pPr>
            <w:r w:rsidRPr="00126991">
              <w:rPr>
                <w:color w:val="000000" w:themeColor="text1"/>
              </w:rPr>
              <w:t>CD34, CD117, CD33, CD13, HLA-DR</w:t>
            </w:r>
          </w:p>
        </w:tc>
      </w:tr>
      <w:tr w:rsidR="00126991" w14:paraId="4C0097D0" w14:textId="77777777" w:rsidTr="00FC16B0">
        <w:tc>
          <w:tcPr>
            <w:tcW w:w="2547" w:type="dxa"/>
          </w:tcPr>
          <w:p w14:paraId="47707D45" w14:textId="48A1F112" w:rsidR="00126991" w:rsidRPr="00FC16B0" w:rsidRDefault="00126991" w:rsidP="00B442FE">
            <w:pPr>
              <w:rPr>
                <w:color w:val="000000" w:themeColor="text1"/>
                <w:vertAlign w:val="superscript"/>
              </w:rPr>
            </w:pPr>
            <w:r w:rsidRPr="00126991">
              <w:rPr>
                <w:color w:val="000000" w:themeColor="text1"/>
              </w:rPr>
              <w:t>Granülositik belirteçler</w:t>
            </w:r>
            <w:r w:rsidR="00FC16B0">
              <w:rPr>
                <w:color w:val="000000" w:themeColor="text1"/>
                <w:vertAlign w:val="superscript"/>
              </w:rPr>
              <w:t>b</w:t>
            </w:r>
          </w:p>
        </w:tc>
        <w:tc>
          <w:tcPr>
            <w:tcW w:w="6509" w:type="dxa"/>
          </w:tcPr>
          <w:p w14:paraId="4182A4FF" w14:textId="74C6A1FD" w:rsidR="00126991" w:rsidRPr="00126991" w:rsidRDefault="00126991" w:rsidP="00B442FE">
            <w:pPr>
              <w:rPr>
                <w:color w:val="000000" w:themeColor="text1"/>
              </w:rPr>
            </w:pPr>
            <w:r w:rsidRPr="00126991">
              <w:rPr>
                <w:color w:val="000000" w:themeColor="text1"/>
              </w:rPr>
              <w:t>CD65, sitoplazmik miyeloperoksidaz (MPO)</w:t>
            </w:r>
          </w:p>
        </w:tc>
      </w:tr>
      <w:tr w:rsidR="00126991" w14:paraId="6DDCCFB7" w14:textId="77777777" w:rsidTr="00FC16B0">
        <w:tc>
          <w:tcPr>
            <w:tcW w:w="2547" w:type="dxa"/>
          </w:tcPr>
          <w:p w14:paraId="4DCCE3D9" w14:textId="3C668BBD" w:rsidR="00126991" w:rsidRPr="00FC16B0" w:rsidRDefault="00126991" w:rsidP="00B442FE">
            <w:pPr>
              <w:rPr>
                <w:color w:val="000000" w:themeColor="text1"/>
                <w:vertAlign w:val="superscript"/>
              </w:rPr>
            </w:pPr>
            <w:r w:rsidRPr="00126991">
              <w:rPr>
                <w:color w:val="000000" w:themeColor="text1"/>
              </w:rPr>
              <w:t>Monositik belirteçler</w:t>
            </w:r>
            <w:r w:rsidR="00FC16B0">
              <w:rPr>
                <w:color w:val="000000" w:themeColor="text1"/>
                <w:vertAlign w:val="superscript"/>
              </w:rPr>
              <w:t>c</w:t>
            </w:r>
          </w:p>
        </w:tc>
        <w:tc>
          <w:tcPr>
            <w:tcW w:w="6509" w:type="dxa"/>
          </w:tcPr>
          <w:p w14:paraId="484DDB24" w14:textId="2D64C7A8" w:rsidR="00126991" w:rsidRPr="00126991" w:rsidRDefault="00126991" w:rsidP="00B442FE">
            <w:pPr>
              <w:rPr>
                <w:color w:val="000000" w:themeColor="text1"/>
              </w:rPr>
            </w:pPr>
            <w:r w:rsidRPr="00126991">
              <w:rPr>
                <w:color w:val="000000" w:themeColor="text1"/>
              </w:rPr>
              <w:t>CD14, CD36, CD64</w:t>
            </w:r>
          </w:p>
        </w:tc>
      </w:tr>
      <w:tr w:rsidR="00126991" w14:paraId="083B1DCD" w14:textId="77777777" w:rsidTr="00FC16B0">
        <w:tc>
          <w:tcPr>
            <w:tcW w:w="2547" w:type="dxa"/>
          </w:tcPr>
          <w:p w14:paraId="4B197EF0" w14:textId="450BA6DB" w:rsidR="00126991" w:rsidRPr="00FC16B0" w:rsidRDefault="00126991" w:rsidP="00B442FE">
            <w:pPr>
              <w:rPr>
                <w:color w:val="000000" w:themeColor="text1"/>
                <w:vertAlign w:val="superscript"/>
              </w:rPr>
            </w:pPr>
            <w:r w:rsidRPr="00126991">
              <w:rPr>
                <w:color w:val="000000" w:themeColor="text1"/>
              </w:rPr>
              <w:t>Megakaryositik belirteçler</w:t>
            </w:r>
            <w:r w:rsidR="00FC16B0">
              <w:rPr>
                <w:color w:val="000000" w:themeColor="text1"/>
                <w:vertAlign w:val="superscript"/>
              </w:rPr>
              <w:t>d</w:t>
            </w:r>
          </w:p>
        </w:tc>
        <w:tc>
          <w:tcPr>
            <w:tcW w:w="6509" w:type="dxa"/>
          </w:tcPr>
          <w:p w14:paraId="2C27A6EA" w14:textId="2B7EBA52" w:rsidR="00126991" w:rsidRPr="00126991" w:rsidRDefault="00126991" w:rsidP="00B442FE">
            <w:pPr>
              <w:rPr>
                <w:color w:val="000000" w:themeColor="text1"/>
              </w:rPr>
            </w:pPr>
            <w:r w:rsidRPr="00126991">
              <w:rPr>
                <w:color w:val="000000" w:themeColor="text1"/>
              </w:rPr>
              <w:t>CD41 (glikoprotein IIb/IIIa), CD 61(glikoprotein IIIa)</w:t>
            </w:r>
          </w:p>
        </w:tc>
      </w:tr>
      <w:tr w:rsidR="00C22B33" w14:paraId="14F66138" w14:textId="77777777" w:rsidTr="00FC16B0">
        <w:tc>
          <w:tcPr>
            <w:tcW w:w="2547" w:type="dxa"/>
          </w:tcPr>
          <w:p w14:paraId="1468BFAE" w14:textId="4AFC4D07" w:rsidR="00C22B33" w:rsidRPr="00126991" w:rsidRDefault="00C22B33" w:rsidP="00B442FE">
            <w:pPr>
              <w:rPr>
                <w:color w:val="000000" w:themeColor="text1"/>
              </w:rPr>
            </w:pPr>
            <w:r>
              <w:rPr>
                <w:color w:val="000000" w:themeColor="text1"/>
              </w:rPr>
              <w:t>Eritroid belirteçler</w:t>
            </w:r>
          </w:p>
        </w:tc>
        <w:tc>
          <w:tcPr>
            <w:tcW w:w="6509" w:type="dxa"/>
          </w:tcPr>
          <w:p w14:paraId="118E238C" w14:textId="4C23DB69" w:rsidR="00C22B33" w:rsidRPr="00126991" w:rsidRDefault="00C22B33" w:rsidP="00B442FE">
            <w:pPr>
              <w:rPr>
                <w:color w:val="000000" w:themeColor="text1"/>
              </w:rPr>
            </w:pPr>
            <w:r>
              <w:rPr>
                <w:color w:val="000000" w:themeColor="text1"/>
              </w:rPr>
              <w:t>CD235a (glikoforin A), CD36</w:t>
            </w:r>
          </w:p>
        </w:tc>
      </w:tr>
      <w:tr w:rsidR="00126991" w14:paraId="23FCC6A4" w14:textId="77777777" w:rsidTr="007D180B">
        <w:tc>
          <w:tcPr>
            <w:tcW w:w="0" w:type="auto"/>
            <w:gridSpan w:val="2"/>
          </w:tcPr>
          <w:p w14:paraId="2AE811BA" w14:textId="26380D82" w:rsidR="00126991" w:rsidRPr="00BD764B" w:rsidRDefault="00126991" w:rsidP="00B442FE">
            <w:pPr>
              <w:rPr>
                <w:b/>
                <w:color w:val="000000" w:themeColor="text1"/>
                <w:vertAlign w:val="superscript"/>
              </w:rPr>
            </w:pPr>
            <w:r w:rsidRPr="00126991">
              <w:rPr>
                <w:b/>
                <w:color w:val="000000" w:themeColor="text1"/>
              </w:rPr>
              <w:t xml:space="preserve">Miks fenotipik </w:t>
            </w:r>
            <w:r w:rsidR="009D3314">
              <w:rPr>
                <w:b/>
                <w:color w:val="000000" w:themeColor="text1"/>
              </w:rPr>
              <w:t xml:space="preserve">Akut </w:t>
            </w:r>
            <w:r w:rsidRPr="00126991">
              <w:rPr>
                <w:b/>
                <w:color w:val="000000" w:themeColor="text1"/>
              </w:rPr>
              <w:t>Lösemi</w:t>
            </w:r>
            <w:r w:rsidR="00BD764B">
              <w:rPr>
                <w:b/>
                <w:color w:val="000000" w:themeColor="text1"/>
              </w:rPr>
              <w:t xml:space="preserve"> (MFAL)</w:t>
            </w:r>
            <w:r w:rsidR="00BD764B">
              <w:rPr>
                <w:b/>
                <w:color w:val="000000" w:themeColor="text1"/>
                <w:vertAlign w:val="superscript"/>
              </w:rPr>
              <w:t>e</w:t>
            </w:r>
          </w:p>
        </w:tc>
      </w:tr>
      <w:tr w:rsidR="00126991" w14:paraId="7C45EDAD" w14:textId="77777777" w:rsidTr="00FC16B0">
        <w:tc>
          <w:tcPr>
            <w:tcW w:w="2547" w:type="dxa"/>
          </w:tcPr>
          <w:p w14:paraId="335D52A7" w14:textId="291AA028" w:rsidR="00126991" w:rsidRDefault="00126991" w:rsidP="00B442FE">
            <w:pPr>
              <w:rPr>
                <w:color w:val="000000" w:themeColor="text1"/>
              </w:rPr>
            </w:pPr>
            <w:r>
              <w:rPr>
                <w:color w:val="000000" w:themeColor="text1"/>
              </w:rPr>
              <w:t>Miyeloid dizi için</w:t>
            </w:r>
          </w:p>
        </w:tc>
        <w:tc>
          <w:tcPr>
            <w:tcW w:w="6509" w:type="dxa"/>
          </w:tcPr>
          <w:p w14:paraId="65CA50C5" w14:textId="77777777" w:rsidR="00126991" w:rsidRDefault="00126991" w:rsidP="00B442FE">
            <w:pPr>
              <w:rPr>
                <w:color w:val="000000" w:themeColor="text1"/>
              </w:rPr>
            </w:pPr>
            <w:r>
              <w:rPr>
                <w:color w:val="000000" w:themeColor="text1"/>
              </w:rPr>
              <w:t>MPO (flow sitometri, immünhistokimya veya sitokimya)</w:t>
            </w:r>
          </w:p>
          <w:p w14:paraId="412CA4C8" w14:textId="29183CBD" w:rsidR="00126991" w:rsidRDefault="00126991" w:rsidP="00B442FE">
            <w:pPr>
              <w:rPr>
                <w:color w:val="000000" w:themeColor="text1"/>
              </w:rPr>
            </w:pPr>
            <w:r>
              <w:rPr>
                <w:color w:val="000000" w:themeColor="text1"/>
              </w:rPr>
              <w:t xml:space="preserve"> Veya</w:t>
            </w:r>
          </w:p>
          <w:p w14:paraId="3A00BC07" w14:textId="77777777" w:rsidR="00126991" w:rsidRDefault="00126991" w:rsidP="00B442FE">
            <w:pPr>
              <w:rPr>
                <w:color w:val="000000" w:themeColor="text1"/>
              </w:rPr>
            </w:pPr>
            <w:r>
              <w:rPr>
                <w:color w:val="000000" w:themeColor="text1"/>
              </w:rPr>
              <w:t xml:space="preserve">Monositik farklılaşma için (aşağıdakilerden en az ikisi: </w:t>
            </w:r>
          </w:p>
          <w:p w14:paraId="1E3898AD" w14:textId="5E517B3B" w:rsidR="00126991" w:rsidRDefault="00126991" w:rsidP="00B442FE">
            <w:pPr>
              <w:rPr>
                <w:color w:val="000000" w:themeColor="text1"/>
              </w:rPr>
            </w:pPr>
            <w:r>
              <w:rPr>
                <w:color w:val="000000" w:themeColor="text1"/>
              </w:rPr>
              <w:t>Non-spesifik esteraz (NSE), CD11c, CD14, CD64, lizozim)</w:t>
            </w:r>
          </w:p>
        </w:tc>
      </w:tr>
      <w:tr w:rsidR="00126991" w14:paraId="30EC76E2" w14:textId="77777777" w:rsidTr="00FC16B0">
        <w:tc>
          <w:tcPr>
            <w:tcW w:w="2547" w:type="dxa"/>
          </w:tcPr>
          <w:p w14:paraId="21BBF4F8" w14:textId="7D7EF838" w:rsidR="00126991" w:rsidRDefault="00126991" w:rsidP="00B442FE">
            <w:pPr>
              <w:rPr>
                <w:color w:val="000000" w:themeColor="text1"/>
              </w:rPr>
            </w:pPr>
            <w:r>
              <w:rPr>
                <w:color w:val="000000" w:themeColor="text1"/>
              </w:rPr>
              <w:t>T-dizisi için</w:t>
            </w:r>
          </w:p>
        </w:tc>
        <w:tc>
          <w:tcPr>
            <w:tcW w:w="6509" w:type="dxa"/>
          </w:tcPr>
          <w:p w14:paraId="6E7AA4C9" w14:textId="4F6AF3EA" w:rsidR="00126991" w:rsidRDefault="00126991" w:rsidP="00B442FE">
            <w:pPr>
              <w:rPr>
                <w:color w:val="000000" w:themeColor="text1"/>
              </w:rPr>
            </w:pPr>
            <w:r>
              <w:rPr>
                <w:color w:val="000000" w:themeColor="text1"/>
              </w:rPr>
              <w:t>Güçlü</w:t>
            </w:r>
            <w:r w:rsidR="00BD764B">
              <w:rPr>
                <w:color w:val="000000" w:themeColor="text1"/>
                <w:vertAlign w:val="superscript"/>
              </w:rPr>
              <w:t>f</w:t>
            </w:r>
            <w:r>
              <w:rPr>
                <w:color w:val="000000" w:themeColor="text1"/>
              </w:rPr>
              <w:t xml:space="preserve"> sitoplazmik CD3 ekspresyonu (</w:t>
            </w:r>
            <w:r w:rsidR="00C22B33">
              <w:rPr>
                <w:color w:val="000000" w:themeColor="text1"/>
              </w:rPr>
              <w:t>CD3 epsilon zincire karşı olan antikorlar)</w:t>
            </w:r>
          </w:p>
          <w:p w14:paraId="05C10325" w14:textId="5C741FA2" w:rsidR="00C22B33" w:rsidRDefault="00C22B33" w:rsidP="00B442FE">
            <w:pPr>
              <w:rPr>
                <w:color w:val="000000" w:themeColor="text1"/>
              </w:rPr>
            </w:pPr>
            <w:r>
              <w:rPr>
                <w:color w:val="000000" w:themeColor="text1"/>
              </w:rPr>
              <w:t xml:space="preserve"> Veya</w:t>
            </w:r>
          </w:p>
          <w:p w14:paraId="42B18FF5" w14:textId="51E23E9C" w:rsidR="00C22B33" w:rsidRDefault="00C22B33" w:rsidP="00B442FE">
            <w:pPr>
              <w:rPr>
                <w:color w:val="000000" w:themeColor="text1"/>
              </w:rPr>
            </w:pPr>
            <w:r>
              <w:rPr>
                <w:color w:val="000000" w:themeColor="text1"/>
              </w:rPr>
              <w:t>Yüzey CD3 ekspresyonu (sCD3)</w:t>
            </w:r>
          </w:p>
        </w:tc>
      </w:tr>
      <w:tr w:rsidR="00126991" w14:paraId="22425BBE" w14:textId="77777777" w:rsidTr="00FC16B0">
        <w:tc>
          <w:tcPr>
            <w:tcW w:w="2547" w:type="dxa"/>
          </w:tcPr>
          <w:p w14:paraId="7A997D83" w14:textId="16A52B21" w:rsidR="00126991" w:rsidRDefault="00C22B33" w:rsidP="00B442FE">
            <w:pPr>
              <w:rPr>
                <w:color w:val="000000" w:themeColor="text1"/>
              </w:rPr>
            </w:pPr>
            <w:r>
              <w:rPr>
                <w:color w:val="000000" w:themeColor="text1"/>
              </w:rPr>
              <w:t>B-dizisi için</w:t>
            </w:r>
          </w:p>
        </w:tc>
        <w:tc>
          <w:tcPr>
            <w:tcW w:w="6509" w:type="dxa"/>
          </w:tcPr>
          <w:p w14:paraId="59745E9D" w14:textId="551C40FB" w:rsidR="00126991" w:rsidRDefault="00C22B33" w:rsidP="00B442FE">
            <w:pPr>
              <w:rPr>
                <w:color w:val="000000" w:themeColor="text1"/>
              </w:rPr>
            </w:pPr>
            <w:r>
              <w:rPr>
                <w:color w:val="000000" w:themeColor="text1"/>
              </w:rPr>
              <w:t>Güçlü</w:t>
            </w:r>
            <w:r w:rsidR="00BD764B">
              <w:rPr>
                <w:color w:val="000000" w:themeColor="text1"/>
                <w:vertAlign w:val="superscript"/>
              </w:rPr>
              <w:t>f</w:t>
            </w:r>
            <w:r>
              <w:rPr>
                <w:color w:val="000000" w:themeColor="text1"/>
              </w:rPr>
              <w:t xml:space="preserve"> CD 19 eskpresyonu ile birlikte aşağıdakilerin en az birisinin güçlü ekspresyonu:</w:t>
            </w:r>
          </w:p>
          <w:p w14:paraId="0391F186" w14:textId="7A5CC4AB" w:rsidR="00C22B33" w:rsidRDefault="00C22B33" w:rsidP="00B442FE">
            <w:pPr>
              <w:rPr>
                <w:color w:val="000000" w:themeColor="text1"/>
              </w:rPr>
            </w:pPr>
            <w:r>
              <w:rPr>
                <w:color w:val="000000" w:themeColor="text1"/>
              </w:rPr>
              <w:t>Sitoplazmik CD79a,</w:t>
            </w:r>
            <w:r w:rsidR="008A7C78">
              <w:rPr>
                <w:color w:val="000000" w:themeColor="text1"/>
              </w:rPr>
              <w:t xml:space="preserve"> </w:t>
            </w:r>
            <w:r>
              <w:rPr>
                <w:color w:val="000000" w:themeColor="text1"/>
              </w:rPr>
              <w:t>cCD22 veya CD10</w:t>
            </w:r>
          </w:p>
          <w:p w14:paraId="307C2234" w14:textId="19998329" w:rsidR="00C22B33" w:rsidRDefault="00C22B33" w:rsidP="00B442FE">
            <w:pPr>
              <w:rPr>
                <w:color w:val="000000" w:themeColor="text1"/>
              </w:rPr>
            </w:pPr>
            <w:r>
              <w:rPr>
                <w:color w:val="000000" w:themeColor="text1"/>
              </w:rPr>
              <w:t xml:space="preserve"> Veya</w:t>
            </w:r>
          </w:p>
          <w:p w14:paraId="1A0284F5" w14:textId="77777777" w:rsidR="00C22B33" w:rsidRDefault="00C22B33" w:rsidP="00B442FE">
            <w:pPr>
              <w:rPr>
                <w:color w:val="000000" w:themeColor="text1"/>
              </w:rPr>
            </w:pPr>
            <w:r>
              <w:rPr>
                <w:color w:val="000000" w:themeColor="text1"/>
              </w:rPr>
              <w:t>Zayıf CD19 ekspresyonu ile birlikte aşağıdakilerden en az ikisinin güçlü ekspresyonu:</w:t>
            </w:r>
          </w:p>
          <w:p w14:paraId="6D70FA61" w14:textId="184D230D" w:rsidR="00C22B33" w:rsidRDefault="00C22B33" w:rsidP="00B442FE">
            <w:pPr>
              <w:rPr>
                <w:color w:val="000000" w:themeColor="text1"/>
              </w:rPr>
            </w:pPr>
            <w:r>
              <w:rPr>
                <w:color w:val="000000" w:themeColor="text1"/>
              </w:rPr>
              <w:t>CD79a, cCD22 veya CD10</w:t>
            </w:r>
          </w:p>
        </w:tc>
      </w:tr>
    </w:tbl>
    <w:p w14:paraId="6B3B732A" w14:textId="1D10CB5F" w:rsidR="00BD764B" w:rsidRPr="00834D09" w:rsidRDefault="00BD764B" w:rsidP="00B442FE">
      <w:pPr>
        <w:rPr>
          <w:color w:val="000000" w:themeColor="text1"/>
          <w:sz w:val="16"/>
          <w:szCs w:val="16"/>
        </w:rPr>
      </w:pPr>
      <w:r w:rsidRPr="00834D09">
        <w:rPr>
          <w:color w:val="000000" w:themeColor="text1"/>
          <w:sz w:val="16"/>
          <w:szCs w:val="16"/>
          <w:vertAlign w:val="superscript"/>
        </w:rPr>
        <w:t>a</w:t>
      </w:r>
      <w:r w:rsidRPr="00834D09">
        <w:rPr>
          <w:color w:val="000000" w:themeColor="text1"/>
          <w:sz w:val="16"/>
          <w:szCs w:val="16"/>
        </w:rPr>
        <w:t xml:space="preserve"> CD38 ve CD123 veya CD133 gibi diğer belirteçler tanıya katkıda bulunması için değil ancak lösemik kök hücreleri tanımlamak için eklenebilir.</w:t>
      </w:r>
    </w:p>
    <w:p w14:paraId="239A6E05" w14:textId="5A209C3E" w:rsidR="00BD764B" w:rsidRPr="00834D09" w:rsidRDefault="00BD764B" w:rsidP="00B442FE">
      <w:pPr>
        <w:rPr>
          <w:color w:val="000000" w:themeColor="text1"/>
          <w:sz w:val="16"/>
          <w:szCs w:val="16"/>
        </w:rPr>
      </w:pPr>
      <w:r w:rsidRPr="00834D09">
        <w:rPr>
          <w:color w:val="000000" w:themeColor="text1"/>
          <w:sz w:val="16"/>
          <w:szCs w:val="16"/>
          <w:vertAlign w:val="superscript"/>
        </w:rPr>
        <w:t xml:space="preserve">b </w:t>
      </w:r>
      <w:r w:rsidRPr="00834D09">
        <w:rPr>
          <w:color w:val="000000" w:themeColor="text1"/>
          <w:sz w:val="16"/>
          <w:szCs w:val="16"/>
        </w:rPr>
        <w:t>Granülositik olgunlaşma içine dahil olan hücreler değişik flöresan seviyelerinde CD13 ve CD33 ekspresyonunu taşıyacaklardır. CD15 ve CD11b ekspresyonunun araştırılması ileri bilgi sağlayabilir. CD16 sadece normal olgun granülositlerde bulunur. Miyeloid belirteçler ile birlikte MPO yokluğu akut farklılaşmamış (undiferansiye) lösemiden farklı olarak, minimal farklılaşmış AML’yi tanımlar.</w:t>
      </w:r>
    </w:p>
    <w:p w14:paraId="5126D75B" w14:textId="349A01BE" w:rsidR="00BD764B" w:rsidRPr="00834D09" w:rsidRDefault="00BD764B" w:rsidP="00B442FE">
      <w:pPr>
        <w:rPr>
          <w:color w:val="000000" w:themeColor="text1"/>
          <w:sz w:val="16"/>
          <w:szCs w:val="16"/>
        </w:rPr>
      </w:pPr>
      <w:r w:rsidRPr="00834D09">
        <w:rPr>
          <w:color w:val="000000" w:themeColor="text1"/>
          <w:sz w:val="16"/>
          <w:szCs w:val="16"/>
          <w:vertAlign w:val="superscript"/>
        </w:rPr>
        <w:t xml:space="preserve">c </w:t>
      </w:r>
      <w:r w:rsidR="008B0FF4" w:rsidRPr="00834D09">
        <w:rPr>
          <w:color w:val="000000" w:themeColor="text1"/>
          <w:sz w:val="16"/>
          <w:szCs w:val="16"/>
        </w:rPr>
        <w:t>Monositik farklılaşmaya giden hücreler CD13 ve CD33 ifadesini koruyacaktır.</w:t>
      </w:r>
      <w:r w:rsidR="00257517" w:rsidRPr="00834D09">
        <w:rPr>
          <w:color w:val="000000" w:themeColor="text1"/>
          <w:sz w:val="16"/>
          <w:szCs w:val="16"/>
        </w:rPr>
        <w:t xml:space="preserve"> CD64 ve CD11b ifadesinin araştırılması özellikle promonositler için ek bilgi sağlayabilir.</w:t>
      </w:r>
    </w:p>
    <w:p w14:paraId="25398DD9" w14:textId="1864C34F" w:rsidR="00DE372B" w:rsidRPr="00834D09" w:rsidRDefault="00DE372B" w:rsidP="00B442FE">
      <w:pPr>
        <w:rPr>
          <w:color w:val="000000" w:themeColor="text1"/>
          <w:sz w:val="16"/>
          <w:szCs w:val="16"/>
        </w:rPr>
      </w:pPr>
      <w:r w:rsidRPr="00834D09">
        <w:rPr>
          <w:color w:val="000000" w:themeColor="text1"/>
          <w:sz w:val="16"/>
          <w:szCs w:val="16"/>
          <w:vertAlign w:val="superscript"/>
        </w:rPr>
        <w:t xml:space="preserve">d </w:t>
      </w:r>
      <w:r w:rsidRPr="00834D09">
        <w:rPr>
          <w:color w:val="000000" w:themeColor="text1"/>
          <w:sz w:val="16"/>
          <w:szCs w:val="16"/>
        </w:rPr>
        <w:t>CD42 (glikoprotein 1b) de kullanılabilir.</w:t>
      </w:r>
    </w:p>
    <w:p w14:paraId="6CA5612C" w14:textId="386F4248" w:rsidR="00DE372B" w:rsidRPr="00834D09" w:rsidRDefault="00DE372B" w:rsidP="00B442FE">
      <w:pPr>
        <w:rPr>
          <w:color w:val="000000" w:themeColor="text1"/>
          <w:sz w:val="16"/>
          <w:szCs w:val="16"/>
        </w:rPr>
      </w:pPr>
      <w:r w:rsidRPr="00834D09">
        <w:rPr>
          <w:color w:val="000000" w:themeColor="text1"/>
          <w:sz w:val="16"/>
          <w:szCs w:val="16"/>
          <w:vertAlign w:val="superscript"/>
        </w:rPr>
        <w:t xml:space="preserve">e </w:t>
      </w:r>
      <w:r w:rsidRPr="00834D09">
        <w:rPr>
          <w:color w:val="000000" w:themeColor="text1"/>
          <w:sz w:val="16"/>
          <w:szCs w:val="16"/>
        </w:rPr>
        <w:t xml:space="preserve">MFAL kategorisi bir seriden fazla antijen ifadesi taşıyan lösemileri içerir. </w:t>
      </w:r>
      <w:r w:rsidR="006E2A71" w:rsidRPr="00834D09">
        <w:rPr>
          <w:color w:val="000000" w:themeColor="text1"/>
          <w:sz w:val="16"/>
          <w:szCs w:val="16"/>
        </w:rPr>
        <w:t>Bu kategori içerisinde, y</w:t>
      </w:r>
      <w:r w:rsidRPr="00834D09">
        <w:rPr>
          <w:color w:val="000000" w:themeColor="text1"/>
          <w:sz w:val="16"/>
          <w:szCs w:val="16"/>
        </w:rPr>
        <w:t xml:space="preserve">a farklı serilerin belirli blast popülasyonlarını </w:t>
      </w:r>
      <w:r w:rsidR="006E2A71" w:rsidRPr="00834D09">
        <w:rPr>
          <w:color w:val="000000" w:themeColor="text1"/>
          <w:sz w:val="16"/>
          <w:szCs w:val="16"/>
        </w:rPr>
        <w:t xml:space="preserve">bir arada bulunması, ya </w:t>
      </w:r>
      <w:r w:rsidRPr="00834D09">
        <w:rPr>
          <w:color w:val="000000" w:themeColor="text1"/>
          <w:sz w:val="16"/>
          <w:szCs w:val="16"/>
        </w:rPr>
        <w:t xml:space="preserve">aynı hücre üzerinde farklı serilerin </w:t>
      </w:r>
      <w:r w:rsidR="006E2A71" w:rsidRPr="00834D09">
        <w:rPr>
          <w:color w:val="000000" w:themeColor="text1"/>
          <w:sz w:val="16"/>
          <w:szCs w:val="16"/>
        </w:rPr>
        <w:t>antijenlerinin aynı anda ifade olması, ya da ikisi bir arada bulunabilir.</w:t>
      </w:r>
    </w:p>
    <w:p w14:paraId="7A73E91E" w14:textId="3D505D8A" w:rsidR="00834D09" w:rsidRDefault="00834D09" w:rsidP="00834D09">
      <w:pPr>
        <w:rPr>
          <w:color w:val="000000" w:themeColor="text1"/>
          <w:sz w:val="16"/>
          <w:szCs w:val="16"/>
        </w:rPr>
      </w:pPr>
      <w:r w:rsidRPr="00834D09">
        <w:rPr>
          <w:color w:val="000000" w:themeColor="text1"/>
          <w:sz w:val="16"/>
          <w:szCs w:val="16"/>
          <w:vertAlign w:val="superscript"/>
        </w:rPr>
        <w:t xml:space="preserve">f </w:t>
      </w:r>
      <w:r w:rsidRPr="00834D09">
        <w:rPr>
          <w:color w:val="000000" w:themeColor="text1"/>
          <w:sz w:val="16"/>
          <w:szCs w:val="16"/>
        </w:rPr>
        <w:t>Güçlü; örnek içerisindeki normal B veya T hücrelerinden daha parlak ya da eşit ifadeyi içerir.</w:t>
      </w:r>
    </w:p>
    <w:p w14:paraId="4F213BD7" w14:textId="77777777" w:rsidR="00834D09" w:rsidRPr="00834D09" w:rsidRDefault="00834D09" w:rsidP="00834D09">
      <w:pPr>
        <w:rPr>
          <w:color w:val="000000" w:themeColor="text1"/>
          <w:sz w:val="16"/>
          <w:szCs w:val="16"/>
        </w:rPr>
      </w:pPr>
    </w:p>
    <w:p w14:paraId="15F934AB" w14:textId="14665319" w:rsidR="00834D09" w:rsidRPr="00834D09" w:rsidRDefault="00834D09" w:rsidP="00B442FE">
      <w:pPr>
        <w:rPr>
          <w:color w:val="000000" w:themeColor="text1"/>
        </w:rPr>
      </w:pPr>
    </w:p>
    <w:p w14:paraId="1D663B1F" w14:textId="77777777" w:rsidR="00DE372B" w:rsidRPr="00DE372B" w:rsidRDefault="00DE372B" w:rsidP="00B442FE">
      <w:pPr>
        <w:rPr>
          <w:color w:val="000000" w:themeColor="text1"/>
        </w:rPr>
      </w:pPr>
    </w:p>
    <w:p w14:paraId="37F5C962" w14:textId="77777777" w:rsidR="00BD764B" w:rsidRDefault="00BD764B" w:rsidP="00B442FE">
      <w:pPr>
        <w:rPr>
          <w:color w:val="000000" w:themeColor="text1"/>
        </w:rPr>
      </w:pPr>
    </w:p>
    <w:p w14:paraId="05771E2A" w14:textId="77777777" w:rsidR="00126991" w:rsidRDefault="00126991" w:rsidP="00B442FE">
      <w:pPr>
        <w:rPr>
          <w:color w:val="000000" w:themeColor="text1"/>
        </w:rPr>
      </w:pPr>
    </w:p>
    <w:p w14:paraId="608C90AC" w14:textId="77777777" w:rsidR="00126991" w:rsidRDefault="00126991" w:rsidP="00B442FE">
      <w:pPr>
        <w:rPr>
          <w:color w:val="000000" w:themeColor="text1"/>
        </w:rPr>
      </w:pPr>
    </w:p>
    <w:p w14:paraId="30AEE282" w14:textId="646B19DF" w:rsidR="00B442FE" w:rsidRDefault="00126991" w:rsidP="00B442FE">
      <w:pPr>
        <w:rPr>
          <w:color w:val="000000" w:themeColor="text1"/>
        </w:rPr>
      </w:pPr>
      <w:r>
        <w:rPr>
          <w:color w:val="000000" w:themeColor="text1"/>
        </w:rPr>
        <w:t>Tablo2</w:t>
      </w:r>
      <w:r w:rsidR="00B442FE">
        <w:rPr>
          <w:color w:val="000000" w:themeColor="text1"/>
        </w:rPr>
        <w:t xml:space="preserve">: </w:t>
      </w:r>
      <w:r w:rsidR="00AE6E79">
        <w:rPr>
          <w:color w:val="000000" w:themeColor="text1"/>
        </w:rPr>
        <w:t>AML sitogenetik risk değerlendirmesi</w:t>
      </w:r>
    </w:p>
    <w:p w14:paraId="6C16B26F" w14:textId="77777777" w:rsidR="00AE6E79" w:rsidRDefault="00AE6E79" w:rsidP="00B442FE">
      <w:pPr>
        <w:rPr>
          <w:color w:val="000000" w:themeColor="text1"/>
        </w:rPr>
      </w:pPr>
    </w:p>
    <w:tbl>
      <w:tblPr>
        <w:tblStyle w:val="TabloKlavuzu"/>
        <w:tblW w:w="0" w:type="auto"/>
        <w:tblLook w:val="04A0" w:firstRow="1" w:lastRow="0" w:firstColumn="1" w:lastColumn="0" w:noHBand="0" w:noVBand="1"/>
      </w:tblPr>
      <w:tblGrid>
        <w:gridCol w:w="2076"/>
        <w:gridCol w:w="6980"/>
      </w:tblGrid>
      <w:tr w:rsidR="00832B77" w14:paraId="05946F49" w14:textId="77777777" w:rsidTr="00832B77">
        <w:tc>
          <w:tcPr>
            <w:tcW w:w="2076" w:type="dxa"/>
          </w:tcPr>
          <w:p w14:paraId="34C0F065" w14:textId="72938301" w:rsidR="00832B77" w:rsidRDefault="00832B77" w:rsidP="00B442FE">
            <w:pPr>
              <w:rPr>
                <w:color w:val="000000" w:themeColor="text1"/>
              </w:rPr>
            </w:pPr>
            <w:r>
              <w:rPr>
                <w:color w:val="000000" w:themeColor="text1"/>
              </w:rPr>
              <w:t>RİSK DURUMU</w:t>
            </w:r>
          </w:p>
        </w:tc>
        <w:tc>
          <w:tcPr>
            <w:tcW w:w="6980" w:type="dxa"/>
          </w:tcPr>
          <w:p w14:paraId="68D319DF" w14:textId="2015B699" w:rsidR="00832B77" w:rsidRDefault="00832B77" w:rsidP="00B442FE">
            <w:pPr>
              <w:rPr>
                <w:color w:val="000000" w:themeColor="text1"/>
              </w:rPr>
            </w:pPr>
            <w:r>
              <w:rPr>
                <w:color w:val="000000" w:themeColor="text1"/>
              </w:rPr>
              <w:t>GENETİK ANOMALİLER</w:t>
            </w:r>
          </w:p>
        </w:tc>
      </w:tr>
      <w:tr w:rsidR="00832B77" w14:paraId="4E34E6D9" w14:textId="77777777" w:rsidTr="00832B77">
        <w:tc>
          <w:tcPr>
            <w:tcW w:w="2076" w:type="dxa"/>
          </w:tcPr>
          <w:p w14:paraId="2A7DECE2" w14:textId="7C0AE185" w:rsidR="00832B77" w:rsidRDefault="00832B77" w:rsidP="00B442FE">
            <w:pPr>
              <w:rPr>
                <w:color w:val="000000" w:themeColor="text1"/>
              </w:rPr>
            </w:pPr>
            <w:r>
              <w:rPr>
                <w:color w:val="000000" w:themeColor="text1"/>
              </w:rPr>
              <w:t>İyi-risk grubu</w:t>
            </w:r>
          </w:p>
        </w:tc>
        <w:tc>
          <w:tcPr>
            <w:tcW w:w="6980" w:type="dxa"/>
          </w:tcPr>
          <w:p w14:paraId="7C4F0051" w14:textId="77777777" w:rsidR="00832B77" w:rsidRDefault="00832B77" w:rsidP="00B442FE">
            <w:pPr>
              <w:rPr>
                <w:color w:val="000000" w:themeColor="text1"/>
              </w:rPr>
            </w:pPr>
            <w:r>
              <w:rPr>
                <w:color w:val="000000" w:themeColor="text1"/>
              </w:rPr>
              <w:t>t(8;21)</w:t>
            </w:r>
          </w:p>
          <w:p w14:paraId="17D97358" w14:textId="77777777" w:rsidR="00832B77" w:rsidRDefault="00832B77" w:rsidP="00B442FE">
            <w:pPr>
              <w:rPr>
                <w:color w:val="000000" w:themeColor="text1"/>
              </w:rPr>
            </w:pPr>
            <w:r>
              <w:rPr>
                <w:color w:val="000000" w:themeColor="text1"/>
              </w:rPr>
              <w:t>inv 16 veya t(16;16)</w:t>
            </w:r>
          </w:p>
          <w:p w14:paraId="5D60977F" w14:textId="77777777" w:rsidR="00832B77" w:rsidRDefault="00832B77" w:rsidP="00B442FE">
            <w:pPr>
              <w:rPr>
                <w:color w:val="000000" w:themeColor="text1"/>
              </w:rPr>
            </w:pPr>
            <w:r>
              <w:rPr>
                <w:color w:val="000000" w:themeColor="text1"/>
              </w:rPr>
              <w:t>t(15;17)</w:t>
            </w:r>
          </w:p>
          <w:p w14:paraId="2DEBCCB5" w14:textId="3BD79893" w:rsidR="00832B77" w:rsidRDefault="00832B77" w:rsidP="00832B77">
            <w:pPr>
              <w:rPr>
                <w:color w:val="000000" w:themeColor="text1"/>
              </w:rPr>
            </w:pPr>
            <w:r>
              <w:rPr>
                <w:color w:val="000000" w:themeColor="text1"/>
              </w:rPr>
              <w:t xml:space="preserve">Normal sitogenetik: </w:t>
            </w:r>
            <w:r w:rsidR="00A016D5">
              <w:rPr>
                <w:color w:val="000000" w:themeColor="text1"/>
              </w:rPr>
              <w:t xml:space="preserve"> </w:t>
            </w:r>
            <w:r w:rsidR="00904328">
              <w:rPr>
                <w:color w:val="000000" w:themeColor="text1"/>
              </w:rPr>
              <w:t xml:space="preserve">   </w:t>
            </w:r>
            <w:r>
              <w:rPr>
                <w:color w:val="000000" w:themeColor="text1"/>
              </w:rPr>
              <w:t>NPM1pozitif ve FLT3-ITD negatif</w:t>
            </w:r>
          </w:p>
          <w:p w14:paraId="5C96A4D5" w14:textId="465AA9F1" w:rsidR="00832B77" w:rsidRDefault="00832B77" w:rsidP="00832B77">
            <w:pPr>
              <w:rPr>
                <w:color w:val="000000" w:themeColor="text1"/>
              </w:rPr>
            </w:pPr>
            <w:r>
              <w:rPr>
                <w:color w:val="000000" w:themeColor="text1"/>
              </w:rPr>
              <w:t xml:space="preserve">                                    </w:t>
            </w:r>
            <w:r w:rsidR="00A016D5">
              <w:rPr>
                <w:color w:val="000000" w:themeColor="text1"/>
              </w:rPr>
              <w:t xml:space="preserve"> </w:t>
            </w:r>
            <w:r>
              <w:rPr>
                <w:color w:val="000000" w:themeColor="text1"/>
              </w:rPr>
              <w:t xml:space="preserve">NPM1 pozitif ve FLT3-ITD düşük </w:t>
            </w:r>
            <w:r w:rsidR="00A016D5">
              <w:rPr>
                <w:color w:val="000000" w:themeColor="text1"/>
              </w:rPr>
              <w:t>allel oranı</w:t>
            </w:r>
            <w:r>
              <w:rPr>
                <w:color w:val="000000" w:themeColor="text1"/>
              </w:rPr>
              <w:t>(</w:t>
            </w:r>
            <w:r w:rsidR="00A016D5">
              <w:rPr>
                <w:color w:val="000000" w:themeColor="text1"/>
              </w:rPr>
              <w:t>&lt;0.5)</w:t>
            </w:r>
          </w:p>
          <w:p w14:paraId="3BF557C5" w14:textId="02FEFFF4" w:rsidR="00A016D5" w:rsidRDefault="00A016D5" w:rsidP="00832B77">
            <w:pPr>
              <w:rPr>
                <w:color w:val="000000" w:themeColor="text1"/>
              </w:rPr>
            </w:pPr>
            <w:r>
              <w:rPr>
                <w:color w:val="000000" w:themeColor="text1"/>
              </w:rPr>
              <w:t xml:space="preserve">                                     İzole biallelik CEBPA mutasyonu</w:t>
            </w:r>
          </w:p>
        </w:tc>
      </w:tr>
      <w:tr w:rsidR="00832B77" w14:paraId="27C19AB6" w14:textId="77777777" w:rsidTr="00832B77">
        <w:tc>
          <w:tcPr>
            <w:tcW w:w="2076" w:type="dxa"/>
          </w:tcPr>
          <w:p w14:paraId="5E88FB35" w14:textId="5DA0CB83" w:rsidR="00832B77" w:rsidRDefault="00832B77" w:rsidP="00B442FE">
            <w:pPr>
              <w:rPr>
                <w:color w:val="000000" w:themeColor="text1"/>
              </w:rPr>
            </w:pPr>
            <w:r>
              <w:rPr>
                <w:color w:val="000000" w:themeColor="text1"/>
              </w:rPr>
              <w:t>Orta-risk grubu</w:t>
            </w:r>
          </w:p>
        </w:tc>
        <w:tc>
          <w:tcPr>
            <w:tcW w:w="6980" w:type="dxa"/>
          </w:tcPr>
          <w:p w14:paraId="6A7597C5" w14:textId="31413D50" w:rsidR="007A5F92" w:rsidRDefault="007A5F92" w:rsidP="00B442FE">
            <w:pPr>
              <w:rPr>
                <w:color w:val="000000" w:themeColor="text1"/>
              </w:rPr>
            </w:pPr>
            <w:r>
              <w:rPr>
                <w:color w:val="000000" w:themeColor="text1"/>
              </w:rPr>
              <w:t>NPM1 pozitif ve FLT3-ITD yüksek allel pozitif (</w:t>
            </w:r>
            <w:r>
              <w:rPr>
                <w:color w:val="000000" w:themeColor="text1"/>
              </w:rPr>
              <w:sym w:font="Symbol" w:char="F0B3"/>
            </w:r>
            <w:r>
              <w:rPr>
                <w:color w:val="000000" w:themeColor="text1"/>
              </w:rPr>
              <w:t>0.5)</w:t>
            </w:r>
          </w:p>
          <w:p w14:paraId="00180CC7" w14:textId="77777777" w:rsidR="001774B7" w:rsidRDefault="001774B7" w:rsidP="00B442FE">
            <w:pPr>
              <w:rPr>
                <w:color w:val="000000" w:themeColor="text1"/>
              </w:rPr>
            </w:pPr>
            <w:r>
              <w:rPr>
                <w:color w:val="000000" w:themeColor="text1"/>
              </w:rPr>
              <w:t xml:space="preserve">Doğal NPM1 ve FLT3-ITD negatif </w:t>
            </w:r>
          </w:p>
          <w:p w14:paraId="7160403F" w14:textId="613331F2" w:rsidR="00F83005" w:rsidRDefault="001774B7" w:rsidP="00B442FE">
            <w:pPr>
              <w:rPr>
                <w:color w:val="000000" w:themeColor="text1"/>
              </w:rPr>
            </w:pPr>
            <w:r>
              <w:rPr>
                <w:color w:val="000000" w:themeColor="text1"/>
              </w:rPr>
              <w:t xml:space="preserve">Doğal NPM1 ve FLT3-ITD düşük allel oranı(&lt;0.5) </w:t>
            </w:r>
          </w:p>
          <w:p w14:paraId="5F779FE6" w14:textId="77777777" w:rsidR="00832B77" w:rsidRDefault="007A5F92" w:rsidP="00B442FE">
            <w:pPr>
              <w:rPr>
                <w:color w:val="000000" w:themeColor="text1"/>
              </w:rPr>
            </w:pPr>
            <w:r>
              <w:rPr>
                <w:color w:val="000000" w:themeColor="text1"/>
              </w:rPr>
              <w:t>t(9;21)</w:t>
            </w:r>
          </w:p>
          <w:p w14:paraId="4819FB11" w14:textId="0B3E2747" w:rsidR="007A5F92" w:rsidRDefault="007A5F92" w:rsidP="00B442FE">
            <w:pPr>
              <w:rPr>
                <w:color w:val="000000" w:themeColor="text1"/>
              </w:rPr>
            </w:pPr>
            <w:r>
              <w:rPr>
                <w:color w:val="000000" w:themeColor="text1"/>
              </w:rPr>
              <w:t>İyi ya da kötü risk grubunda tanımlanmamış sitogenetik anomaliler</w:t>
            </w:r>
          </w:p>
        </w:tc>
      </w:tr>
      <w:tr w:rsidR="00832B77" w14:paraId="56541416" w14:textId="77777777" w:rsidTr="00832B77">
        <w:tc>
          <w:tcPr>
            <w:tcW w:w="2076" w:type="dxa"/>
          </w:tcPr>
          <w:p w14:paraId="4959024C" w14:textId="2709E882" w:rsidR="00832B77" w:rsidRDefault="00832B77" w:rsidP="00B442FE">
            <w:pPr>
              <w:rPr>
                <w:color w:val="000000" w:themeColor="text1"/>
              </w:rPr>
            </w:pPr>
            <w:r>
              <w:rPr>
                <w:color w:val="000000" w:themeColor="text1"/>
              </w:rPr>
              <w:t>Kötü-risk grubu</w:t>
            </w:r>
          </w:p>
        </w:tc>
        <w:tc>
          <w:tcPr>
            <w:tcW w:w="6980" w:type="dxa"/>
          </w:tcPr>
          <w:p w14:paraId="3567E8A1" w14:textId="77777777" w:rsidR="00832B77" w:rsidRDefault="001A7FAD" w:rsidP="00B442FE">
            <w:pPr>
              <w:rPr>
                <w:color w:val="000000" w:themeColor="text1"/>
              </w:rPr>
            </w:pPr>
            <w:r>
              <w:rPr>
                <w:color w:val="000000" w:themeColor="text1"/>
              </w:rPr>
              <w:t>Kompleks karyotip (</w:t>
            </w:r>
            <w:r>
              <w:rPr>
                <w:color w:val="000000" w:themeColor="text1"/>
              </w:rPr>
              <w:sym w:font="Symbol" w:char="F0B3"/>
            </w:r>
            <w:r>
              <w:rPr>
                <w:color w:val="000000" w:themeColor="text1"/>
              </w:rPr>
              <w:t>3 klonal kromozomal anomali)</w:t>
            </w:r>
          </w:p>
          <w:p w14:paraId="30E3494D" w14:textId="77777777" w:rsidR="001A7FAD" w:rsidRDefault="001A7FAD" w:rsidP="00B442FE">
            <w:pPr>
              <w:rPr>
                <w:color w:val="000000" w:themeColor="text1"/>
              </w:rPr>
            </w:pPr>
            <w:r>
              <w:rPr>
                <w:color w:val="000000" w:themeColor="text1"/>
              </w:rPr>
              <w:t>Monozomal karyotip</w:t>
            </w:r>
          </w:p>
          <w:p w14:paraId="32DC1F7A" w14:textId="77777777" w:rsidR="001A7FAD" w:rsidRDefault="001A7FAD" w:rsidP="001A7FAD">
            <w:pPr>
              <w:rPr>
                <w:color w:val="000000" w:themeColor="text1"/>
              </w:rPr>
            </w:pPr>
            <w:r>
              <w:rPr>
                <w:color w:val="000000" w:themeColor="text1"/>
              </w:rPr>
              <w:t>-5 veya del(5q);  -7; 7q- ; -17/17p anomali</w:t>
            </w:r>
          </w:p>
          <w:p w14:paraId="4ECD1BC5" w14:textId="77777777" w:rsidR="001A7FAD" w:rsidRDefault="001A7FAD" w:rsidP="001A7FAD">
            <w:pPr>
              <w:rPr>
                <w:color w:val="000000" w:themeColor="text1"/>
              </w:rPr>
            </w:pPr>
            <w:r>
              <w:rPr>
                <w:color w:val="000000" w:themeColor="text1"/>
              </w:rPr>
              <w:t>11q</w:t>
            </w:r>
            <w:r w:rsidR="00491C0F">
              <w:rPr>
                <w:color w:val="000000" w:themeColor="text1"/>
              </w:rPr>
              <w:t>23</w:t>
            </w:r>
            <w:r w:rsidR="00B652E8">
              <w:rPr>
                <w:color w:val="000000" w:themeColor="text1"/>
              </w:rPr>
              <w:t xml:space="preserve"> (t(9;11) olmayacak)</w:t>
            </w:r>
          </w:p>
          <w:p w14:paraId="354F0C0D" w14:textId="77777777" w:rsidR="00B652E8" w:rsidRDefault="00B652E8" w:rsidP="001A7FAD">
            <w:pPr>
              <w:rPr>
                <w:color w:val="000000" w:themeColor="text1"/>
              </w:rPr>
            </w:pPr>
            <w:r>
              <w:rPr>
                <w:color w:val="000000" w:themeColor="text1"/>
              </w:rPr>
              <w:t>inv (3), t(3;3)</w:t>
            </w:r>
          </w:p>
          <w:p w14:paraId="4B63BD3F" w14:textId="77777777" w:rsidR="00B652E8" w:rsidRDefault="00B652E8" w:rsidP="001A7FAD">
            <w:pPr>
              <w:rPr>
                <w:color w:val="000000" w:themeColor="text1"/>
              </w:rPr>
            </w:pPr>
            <w:r>
              <w:rPr>
                <w:color w:val="000000" w:themeColor="text1"/>
              </w:rPr>
              <w:t>t(6;9)</w:t>
            </w:r>
          </w:p>
          <w:p w14:paraId="3CE9DAD8" w14:textId="77777777" w:rsidR="00B652E8" w:rsidRDefault="00B652E8" w:rsidP="001A7FAD">
            <w:pPr>
              <w:rPr>
                <w:color w:val="000000" w:themeColor="text1"/>
              </w:rPr>
            </w:pPr>
            <w:r>
              <w:rPr>
                <w:color w:val="000000" w:themeColor="text1"/>
              </w:rPr>
              <w:t>t(9;22)</w:t>
            </w:r>
          </w:p>
          <w:p w14:paraId="79157130" w14:textId="77777777" w:rsidR="00E846E3" w:rsidRDefault="00FB5D17" w:rsidP="001A7FAD">
            <w:pPr>
              <w:rPr>
                <w:color w:val="000000" w:themeColor="text1"/>
              </w:rPr>
            </w:pPr>
            <w:r>
              <w:rPr>
                <w:color w:val="000000" w:themeColor="text1"/>
              </w:rPr>
              <w:t>Doğal NPM1 ve FLT3-ITD yüksek allel pozitif (</w:t>
            </w:r>
            <w:r>
              <w:rPr>
                <w:color w:val="000000" w:themeColor="text1"/>
              </w:rPr>
              <w:sym w:font="Symbol" w:char="F0B3"/>
            </w:r>
            <w:r>
              <w:rPr>
                <w:color w:val="000000" w:themeColor="text1"/>
              </w:rPr>
              <w:t>0.5)</w:t>
            </w:r>
          </w:p>
          <w:p w14:paraId="2FCB54D4" w14:textId="77777777" w:rsidR="00B53394" w:rsidRDefault="00B53394" w:rsidP="001A7FAD">
            <w:pPr>
              <w:rPr>
                <w:color w:val="000000" w:themeColor="text1"/>
              </w:rPr>
            </w:pPr>
            <w:r>
              <w:rPr>
                <w:color w:val="000000" w:themeColor="text1"/>
              </w:rPr>
              <w:t>TP53 mutasyonu</w:t>
            </w:r>
          </w:p>
          <w:p w14:paraId="76B9F0B4" w14:textId="268206E9" w:rsidR="00FA2694" w:rsidRDefault="00FA2694" w:rsidP="001A7FAD">
            <w:pPr>
              <w:rPr>
                <w:color w:val="000000" w:themeColor="text1"/>
              </w:rPr>
            </w:pPr>
            <w:r w:rsidRPr="00FA2694">
              <w:rPr>
                <w:color w:val="C00000"/>
              </w:rPr>
              <w:t>RUNX1 mutasyonu, ASXL1 mutasyonu (iyi-risk grubu AML olgularında kötü rik faktörü olarak ele alınmazlar)</w:t>
            </w:r>
          </w:p>
        </w:tc>
      </w:tr>
    </w:tbl>
    <w:p w14:paraId="47E7ABE5" w14:textId="4C5FE6D6" w:rsidR="00AE6E79" w:rsidRDefault="00AE6E79" w:rsidP="00B442FE">
      <w:pPr>
        <w:rPr>
          <w:color w:val="000000" w:themeColor="text1"/>
        </w:rPr>
      </w:pPr>
    </w:p>
    <w:p w14:paraId="644991CC" w14:textId="3F998340" w:rsidR="0042151E" w:rsidRPr="008A7C78" w:rsidRDefault="00AC7507" w:rsidP="00B442FE">
      <w:pPr>
        <w:rPr>
          <w:b/>
          <w:color w:val="000000" w:themeColor="text1"/>
        </w:rPr>
      </w:pPr>
      <w:r w:rsidRPr="008A7C78">
        <w:rPr>
          <w:b/>
          <w:color w:val="000000" w:themeColor="text1"/>
        </w:rPr>
        <w:t>Destek Bakım:</w:t>
      </w:r>
    </w:p>
    <w:p w14:paraId="4F63B813" w14:textId="59050C94" w:rsidR="00AC7507" w:rsidRDefault="00AC7507" w:rsidP="00AC7507">
      <w:pPr>
        <w:pStyle w:val="ListeParagraf"/>
        <w:numPr>
          <w:ilvl w:val="0"/>
          <w:numId w:val="3"/>
        </w:numPr>
        <w:rPr>
          <w:color w:val="000000" w:themeColor="text1"/>
        </w:rPr>
      </w:pPr>
      <w:r w:rsidRPr="00E676B3">
        <w:rPr>
          <w:b/>
          <w:color w:val="000000" w:themeColor="text1"/>
          <w:u w:val="single"/>
        </w:rPr>
        <w:t>Kan ürünleri :</w:t>
      </w:r>
      <w:r>
        <w:rPr>
          <w:color w:val="000000" w:themeColor="text1"/>
        </w:rPr>
        <w:t xml:space="preserve"> </w:t>
      </w:r>
      <w:r w:rsidR="003A5374">
        <w:rPr>
          <w:color w:val="000000" w:themeColor="text1"/>
        </w:rPr>
        <w:t>Tüm eritrosit ve trombosit süspansiyonları allosensitizasyon ve CMV geçişini önlemek için lökosit filtresi kullanılarak transfüze edilmeli</w:t>
      </w:r>
      <w:r w:rsidR="00904328">
        <w:rPr>
          <w:color w:val="000000" w:themeColor="text1"/>
        </w:rPr>
        <w:t>dir.</w:t>
      </w:r>
    </w:p>
    <w:p w14:paraId="4C2060C2" w14:textId="58BD7F36" w:rsidR="003A5374" w:rsidRDefault="003A5374" w:rsidP="003A5374">
      <w:pPr>
        <w:pStyle w:val="ListeParagraf"/>
        <w:rPr>
          <w:color w:val="000000" w:themeColor="text1"/>
        </w:rPr>
      </w:pPr>
      <w:r>
        <w:rPr>
          <w:color w:val="000000" w:themeColor="text1"/>
        </w:rPr>
        <w:t>Kök hücre nakli yapılmış ya da planı olanlarda (tüm akut lösemi hastalar adaydır), immünsüpresif tedavi alanlarda (fludarabin …) kan ürünleri ışınlanmalıdır.</w:t>
      </w:r>
    </w:p>
    <w:p w14:paraId="7A8EF0EC" w14:textId="4A84CAB1" w:rsidR="003A5374" w:rsidRDefault="00EA3BAD" w:rsidP="003A5374">
      <w:pPr>
        <w:pStyle w:val="ListeParagraf"/>
        <w:rPr>
          <w:color w:val="000000" w:themeColor="text1"/>
        </w:rPr>
      </w:pPr>
      <w:r>
        <w:rPr>
          <w:color w:val="000000" w:themeColor="text1"/>
        </w:rPr>
        <w:t xml:space="preserve">Tranfüzyon sınırları: </w:t>
      </w:r>
    </w:p>
    <w:p w14:paraId="19A78422" w14:textId="0370B021" w:rsidR="00EA3BAD" w:rsidRDefault="00EA3BAD" w:rsidP="003A5374">
      <w:pPr>
        <w:pStyle w:val="ListeParagraf"/>
        <w:rPr>
          <w:color w:val="000000" w:themeColor="text1"/>
        </w:rPr>
      </w:pPr>
      <w:r>
        <w:rPr>
          <w:color w:val="000000" w:themeColor="text1"/>
        </w:rPr>
        <w:t xml:space="preserve">     Hb&lt;8 gr/dL veya merkezlerin transfüzyon protokolleri veya anemi bulguları esas alınarak eritrosit süspansiyonu ile yerine koyma yapılmalı (sepsiste, ileri koroner arter hastalığı ya da konjestif kalp yetmezliği olanlarda </w:t>
      </w:r>
      <w:r w:rsidR="00E676B3">
        <w:rPr>
          <w:color w:val="000000" w:themeColor="text1"/>
        </w:rPr>
        <w:t>transfüzyon sınırı &lt;10 g/dL tutulmalı)</w:t>
      </w:r>
    </w:p>
    <w:p w14:paraId="15219EC2" w14:textId="1E6B6406" w:rsidR="00E676B3" w:rsidRDefault="00E676B3" w:rsidP="003A5374">
      <w:pPr>
        <w:pStyle w:val="ListeParagraf"/>
        <w:rPr>
          <w:color w:val="000000" w:themeColor="text1"/>
        </w:rPr>
      </w:pPr>
      <w:r>
        <w:rPr>
          <w:color w:val="000000" w:themeColor="text1"/>
        </w:rPr>
        <w:t xml:space="preserve">     Trombosit &lt; 10.000/mm</w:t>
      </w:r>
      <w:r>
        <w:rPr>
          <w:color w:val="000000" w:themeColor="text1"/>
          <w:vertAlign w:val="superscript"/>
        </w:rPr>
        <w:t xml:space="preserve">3 </w:t>
      </w:r>
      <w:r>
        <w:rPr>
          <w:color w:val="000000" w:themeColor="text1"/>
        </w:rPr>
        <w:t>veya herhangi bir kanama durumunda (asparaginaz, ATG tedavisi, sepsis durumlarında sınır daha yüksek tutulabilir)</w:t>
      </w:r>
    </w:p>
    <w:p w14:paraId="76A12091" w14:textId="77777777" w:rsidR="00E676B3" w:rsidRDefault="00E676B3" w:rsidP="003A5374">
      <w:pPr>
        <w:pStyle w:val="ListeParagraf"/>
        <w:rPr>
          <w:color w:val="000000" w:themeColor="text1"/>
        </w:rPr>
      </w:pPr>
    </w:p>
    <w:p w14:paraId="18E8EBB6" w14:textId="7F97FD70" w:rsidR="00E676B3" w:rsidRDefault="00D662CA" w:rsidP="00E676B3">
      <w:pPr>
        <w:pStyle w:val="ListeParagraf"/>
        <w:numPr>
          <w:ilvl w:val="0"/>
          <w:numId w:val="3"/>
        </w:numPr>
        <w:rPr>
          <w:color w:val="000000" w:themeColor="text1"/>
        </w:rPr>
      </w:pPr>
      <w:r>
        <w:rPr>
          <w:color w:val="000000" w:themeColor="text1"/>
        </w:rPr>
        <w:t xml:space="preserve">Tümör lizis profilaksisi </w:t>
      </w:r>
      <w:r w:rsidR="00F45E33">
        <w:rPr>
          <w:color w:val="000000" w:themeColor="text1"/>
        </w:rPr>
        <w:t xml:space="preserve">: Diürezin sağlanarak hastanın hidrasyonu, allopurinol, rasburikaz kullanımı. Yüksek ürik asit ve hızlı blast yüksekliği gözlenen  </w:t>
      </w:r>
      <w:r w:rsidR="001E410A">
        <w:rPr>
          <w:color w:val="000000" w:themeColor="text1"/>
        </w:rPr>
        <w:t xml:space="preserve">veya bozuk renal fonksiyonu olan </w:t>
      </w:r>
      <w:r w:rsidR="00F45E33">
        <w:rPr>
          <w:color w:val="000000" w:themeColor="text1"/>
        </w:rPr>
        <w:t xml:space="preserve">hastalarda </w:t>
      </w:r>
      <w:r w:rsidR="001E410A">
        <w:rPr>
          <w:color w:val="000000" w:themeColor="text1"/>
        </w:rPr>
        <w:t>rasbürikaz gündeme gelebilir.</w:t>
      </w:r>
    </w:p>
    <w:p w14:paraId="6C151372" w14:textId="229E247C" w:rsidR="001E410A" w:rsidRDefault="001E410A" w:rsidP="00E676B3">
      <w:pPr>
        <w:pStyle w:val="ListeParagraf"/>
        <w:numPr>
          <w:ilvl w:val="0"/>
          <w:numId w:val="3"/>
        </w:numPr>
        <w:rPr>
          <w:color w:val="000000" w:themeColor="text1"/>
        </w:rPr>
      </w:pPr>
      <w:r>
        <w:rPr>
          <w:color w:val="000000" w:themeColor="text1"/>
        </w:rPr>
        <w:lastRenderedPageBreak/>
        <w:t>HIDAC alan v</w:t>
      </w:r>
      <w:r w:rsidR="00904328">
        <w:rPr>
          <w:color w:val="000000" w:themeColor="text1"/>
        </w:rPr>
        <w:t>eya 60 yaş üstü</w:t>
      </w:r>
      <w:r>
        <w:rPr>
          <w:color w:val="000000" w:themeColor="text1"/>
        </w:rPr>
        <w:t xml:space="preserve"> orta doz s</w:t>
      </w:r>
      <w:r w:rsidR="00904328">
        <w:rPr>
          <w:color w:val="000000" w:themeColor="text1"/>
        </w:rPr>
        <w:t>itarabin alan olgular serebellar</w:t>
      </w:r>
      <w:r>
        <w:rPr>
          <w:color w:val="000000" w:themeColor="text1"/>
        </w:rPr>
        <w:t xml:space="preserve"> toskisite riski taşırlar. Bu hastaların tedavi süresince günlük nörolojik muayeneleri</w:t>
      </w:r>
      <w:r w:rsidR="00C64D36">
        <w:rPr>
          <w:color w:val="000000" w:themeColor="text1"/>
        </w:rPr>
        <w:t xml:space="preserve"> yapılmalıdır </w:t>
      </w:r>
      <w:r>
        <w:rPr>
          <w:color w:val="000000" w:themeColor="text1"/>
        </w:rPr>
        <w:t>(</w:t>
      </w:r>
      <w:r w:rsidR="00987BE4">
        <w:rPr>
          <w:color w:val="000000" w:themeColor="text1"/>
        </w:rPr>
        <w:t xml:space="preserve">nistagmus, </w:t>
      </w:r>
      <w:r w:rsidR="00954529">
        <w:rPr>
          <w:color w:val="000000" w:themeColor="text1"/>
        </w:rPr>
        <w:t>disartri, dismetri her sitarabin öncesi değerlendir</w:t>
      </w:r>
      <w:r w:rsidR="00C64D36">
        <w:rPr>
          <w:color w:val="000000" w:themeColor="text1"/>
        </w:rPr>
        <w:t>i</w:t>
      </w:r>
      <w:r w:rsidR="00954529">
        <w:rPr>
          <w:color w:val="000000" w:themeColor="text1"/>
        </w:rPr>
        <w:t>lmeli</w:t>
      </w:r>
      <w:r w:rsidR="00C64D36">
        <w:rPr>
          <w:color w:val="000000" w:themeColor="text1"/>
        </w:rPr>
        <w:t xml:space="preserve">). </w:t>
      </w:r>
      <w:r w:rsidR="00904328">
        <w:rPr>
          <w:color w:val="000000" w:themeColor="text1"/>
        </w:rPr>
        <w:t xml:space="preserve"> </w:t>
      </w:r>
      <w:r w:rsidR="00C64D36">
        <w:rPr>
          <w:color w:val="000000" w:themeColor="text1"/>
        </w:rPr>
        <w:t>Serebellar toksisite gelişen hastalarda sitarabin durdurulmalı ve hasta bir sonraki kürlerde sitarabine maruz bırakılmamalıdır.</w:t>
      </w:r>
    </w:p>
    <w:p w14:paraId="00E68B49" w14:textId="0CBF6292" w:rsidR="00C64D36" w:rsidRDefault="00C64D36" w:rsidP="00E676B3">
      <w:pPr>
        <w:pStyle w:val="ListeParagraf"/>
        <w:numPr>
          <w:ilvl w:val="0"/>
          <w:numId w:val="3"/>
        </w:numPr>
        <w:rPr>
          <w:color w:val="000000" w:themeColor="text1"/>
        </w:rPr>
      </w:pPr>
      <w:r>
        <w:rPr>
          <w:color w:val="000000" w:themeColor="text1"/>
        </w:rPr>
        <w:t xml:space="preserve">Yüksek doz sitarabin uygulanan hastalarda sitarabinin son dozundan 24 saat sonrasına kadar tüm hastalara her iki göze günde dört kez salin ya da steroidli göz damlası uygulanmalıdır. </w:t>
      </w:r>
    </w:p>
    <w:p w14:paraId="651FB714" w14:textId="39B7E126" w:rsidR="00C64D36" w:rsidRDefault="00C64D36" w:rsidP="00E676B3">
      <w:pPr>
        <w:pStyle w:val="ListeParagraf"/>
        <w:numPr>
          <w:ilvl w:val="0"/>
          <w:numId w:val="3"/>
        </w:numPr>
        <w:rPr>
          <w:color w:val="000000" w:themeColor="text1"/>
        </w:rPr>
      </w:pPr>
      <w:r>
        <w:rPr>
          <w:color w:val="000000" w:themeColor="text1"/>
        </w:rPr>
        <w:t>Post-remisyon tedavisi için destek tedavisinin bir parçası olarak G-CSF kullanılabilir. G-CSF almakta olan hastalarda remisyonun dökümente edilmesi için yapılacak o</w:t>
      </w:r>
      <w:r w:rsidR="008046B2">
        <w:rPr>
          <w:color w:val="000000" w:themeColor="text1"/>
        </w:rPr>
        <w:t>lan kemik iliği aspirasyon</w:t>
      </w:r>
      <w:r w:rsidR="00904328">
        <w:rPr>
          <w:color w:val="000000" w:themeColor="text1"/>
        </w:rPr>
        <w:t>un</w:t>
      </w:r>
      <w:r w:rsidR="008046B2">
        <w:rPr>
          <w:color w:val="000000" w:themeColor="text1"/>
        </w:rPr>
        <w:t xml:space="preserve">dan en az </w:t>
      </w:r>
      <w:r w:rsidR="00AF54EE">
        <w:rPr>
          <w:color w:val="000000" w:themeColor="text1"/>
        </w:rPr>
        <w:t>7 gün önce G-CSF kesilmelidir.</w:t>
      </w:r>
    </w:p>
    <w:p w14:paraId="6A874361" w14:textId="6230CBC2" w:rsidR="00DE2112" w:rsidRDefault="00DE2112" w:rsidP="00E676B3">
      <w:pPr>
        <w:pStyle w:val="ListeParagraf"/>
        <w:numPr>
          <w:ilvl w:val="0"/>
          <w:numId w:val="3"/>
        </w:numPr>
        <w:rPr>
          <w:color w:val="000000" w:themeColor="text1"/>
        </w:rPr>
      </w:pPr>
      <w:r>
        <w:rPr>
          <w:color w:val="000000" w:themeColor="text1"/>
        </w:rPr>
        <w:t>Kök hücre transplantasyon adaylarında CMV taraması yapılmalıdır.</w:t>
      </w:r>
    </w:p>
    <w:p w14:paraId="0505C46C" w14:textId="5E48834A" w:rsidR="00DE2112" w:rsidRDefault="00DE2112" w:rsidP="00E676B3">
      <w:pPr>
        <w:pStyle w:val="ListeParagraf"/>
        <w:numPr>
          <w:ilvl w:val="0"/>
          <w:numId w:val="3"/>
        </w:numPr>
        <w:rPr>
          <w:color w:val="000000" w:themeColor="text1"/>
        </w:rPr>
      </w:pPr>
      <w:r>
        <w:rPr>
          <w:color w:val="000000" w:themeColor="text1"/>
        </w:rPr>
        <w:t>Antibiyotik seçimi, genel kurallara uyulması koşul</w:t>
      </w:r>
      <w:r w:rsidR="00FB6D49">
        <w:rPr>
          <w:color w:val="000000" w:themeColor="text1"/>
        </w:rPr>
        <w:t>u ile kliniklerin üreme paternleri ve direnç durumlarına göre yapılabilir.</w:t>
      </w:r>
    </w:p>
    <w:p w14:paraId="5473A8A4" w14:textId="77777777" w:rsidR="00DD3491" w:rsidRDefault="00DD3491" w:rsidP="00DD3491">
      <w:pPr>
        <w:rPr>
          <w:color w:val="000000" w:themeColor="text1"/>
        </w:rPr>
      </w:pPr>
    </w:p>
    <w:p w14:paraId="28AEF073" w14:textId="0DEF8B18" w:rsidR="00DD3491" w:rsidRDefault="00904328" w:rsidP="00DD3491">
      <w:pPr>
        <w:rPr>
          <w:color w:val="000000" w:themeColor="text1"/>
        </w:rPr>
      </w:pPr>
      <w:r w:rsidRPr="008A7C78">
        <w:rPr>
          <w:b/>
          <w:color w:val="000000" w:themeColor="text1"/>
        </w:rPr>
        <w:t>Tablo 3</w:t>
      </w:r>
      <w:r w:rsidR="00DD3491" w:rsidRPr="008A7C78">
        <w:rPr>
          <w:b/>
          <w:color w:val="000000" w:themeColor="text1"/>
        </w:rPr>
        <w:t>:</w:t>
      </w:r>
      <w:r w:rsidR="00DD3491">
        <w:rPr>
          <w:color w:val="000000" w:themeColor="text1"/>
        </w:rPr>
        <w:t xml:space="preserve"> AML için yanıt değerlendirmesi</w:t>
      </w:r>
    </w:p>
    <w:p w14:paraId="6A9705E9" w14:textId="77777777" w:rsidR="00DD3491" w:rsidRDefault="00DD3491" w:rsidP="00DD3491">
      <w:pPr>
        <w:rPr>
          <w:color w:val="000000" w:themeColor="text1"/>
        </w:rPr>
      </w:pPr>
    </w:p>
    <w:tbl>
      <w:tblPr>
        <w:tblStyle w:val="TabloKlavuzu"/>
        <w:tblW w:w="9492" w:type="dxa"/>
        <w:tblLook w:val="04A0" w:firstRow="1" w:lastRow="0" w:firstColumn="1" w:lastColumn="0" w:noHBand="0" w:noVBand="1"/>
      </w:tblPr>
      <w:tblGrid>
        <w:gridCol w:w="2413"/>
        <w:gridCol w:w="7079"/>
      </w:tblGrid>
      <w:tr w:rsidR="00D70E0B" w14:paraId="28299AAF" w14:textId="77777777" w:rsidTr="00D70E0B">
        <w:tc>
          <w:tcPr>
            <w:tcW w:w="2413" w:type="dxa"/>
          </w:tcPr>
          <w:p w14:paraId="740325EB" w14:textId="5768F809" w:rsidR="00150826" w:rsidRPr="005B6B5C" w:rsidRDefault="00150826" w:rsidP="00DD3491">
            <w:pPr>
              <w:rPr>
                <w:b/>
                <w:color w:val="000000" w:themeColor="text1"/>
              </w:rPr>
            </w:pPr>
            <w:r w:rsidRPr="005B6B5C">
              <w:rPr>
                <w:b/>
                <w:color w:val="000000" w:themeColor="text1"/>
              </w:rPr>
              <w:t>Yanıt tipi</w:t>
            </w:r>
          </w:p>
        </w:tc>
        <w:tc>
          <w:tcPr>
            <w:tcW w:w="7079" w:type="dxa"/>
          </w:tcPr>
          <w:p w14:paraId="37D2AC52" w14:textId="0E406240" w:rsidR="00150826" w:rsidRPr="005B6B5C" w:rsidRDefault="005B6B5C" w:rsidP="00DD3491">
            <w:pPr>
              <w:rPr>
                <w:b/>
                <w:color w:val="000000" w:themeColor="text1"/>
              </w:rPr>
            </w:pPr>
            <w:r>
              <w:rPr>
                <w:b/>
                <w:color w:val="000000" w:themeColor="text1"/>
              </w:rPr>
              <w:t>Tanım</w:t>
            </w:r>
          </w:p>
        </w:tc>
      </w:tr>
      <w:tr w:rsidR="00D70E0B" w14:paraId="67B9745C" w14:textId="77777777" w:rsidTr="000D53CB">
        <w:trPr>
          <w:trHeight w:val="1690"/>
        </w:trPr>
        <w:tc>
          <w:tcPr>
            <w:tcW w:w="2413" w:type="dxa"/>
          </w:tcPr>
          <w:p w14:paraId="5F1FFDB2" w14:textId="68564D97" w:rsidR="00150826" w:rsidRPr="005B6B5C" w:rsidRDefault="00D70E0B" w:rsidP="00DD3491">
            <w:pPr>
              <w:rPr>
                <w:b/>
                <w:color w:val="000000" w:themeColor="text1"/>
              </w:rPr>
            </w:pPr>
            <w:r w:rsidRPr="005B6B5C">
              <w:rPr>
                <w:b/>
                <w:color w:val="000000" w:themeColor="text1"/>
              </w:rPr>
              <w:t>Tam yanıt (TY)</w:t>
            </w:r>
          </w:p>
        </w:tc>
        <w:tc>
          <w:tcPr>
            <w:tcW w:w="7079" w:type="dxa"/>
          </w:tcPr>
          <w:p w14:paraId="76F77B2C" w14:textId="7949164A" w:rsidR="00150826" w:rsidRDefault="00D70E0B" w:rsidP="00DD3491">
            <w:pPr>
              <w:rPr>
                <w:color w:val="000000" w:themeColor="text1"/>
              </w:rPr>
            </w:pPr>
            <w:r>
              <w:rPr>
                <w:color w:val="000000" w:themeColor="text1"/>
              </w:rPr>
              <w:t>Partiküllü ve hücre içeriği iyi olan Kİ’de blast yüzdesinin &lt;</w:t>
            </w:r>
            <w:r w:rsidR="00027314">
              <w:rPr>
                <w:color w:val="000000" w:themeColor="text1"/>
              </w:rPr>
              <w:t xml:space="preserve"> %5 olması;</w:t>
            </w:r>
            <w:r>
              <w:rPr>
                <w:color w:val="000000" w:themeColor="text1"/>
              </w:rPr>
              <w:t xml:space="preserve"> periferik kanda blast olmaması ve Auer </w:t>
            </w:r>
            <w:r w:rsidR="00027314">
              <w:rPr>
                <w:color w:val="000000" w:themeColor="text1"/>
              </w:rPr>
              <w:t>cisimciği içeren blast olmaması;</w:t>
            </w:r>
            <w:r>
              <w:rPr>
                <w:color w:val="000000" w:themeColor="text1"/>
              </w:rPr>
              <w:t xml:space="preserve"> ekstramedüller hastalık olmaması;</w:t>
            </w:r>
          </w:p>
          <w:p w14:paraId="03E918C3" w14:textId="5CBA0F41" w:rsidR="00027314" w:rsidRDefault="00FF55A3" w:rsidP="005656FD">
            <w:pPr>
              <w:pStyle w:val="ListeParagraf"/>
              <w:numPr>
                <w:ilvl w:val="0"/>
                <w:numId w:val="4"/>
              </w:numPr>
              <w:rPr>
                <w:color w:val="000000" w:themeColor="text1"/>
              </w:rPr>
            </w:pPr>
            <w:r>
              <w:rPr>
                <w:color w:val="000000" w:themeColor="text1"/>
              </w:rPr>
              <w:t xml:space="preserve">Mutlak nötrofil sayısının </w:t>
            </w:r>
            <w:r>
              <w:rPr>
                <w:color w:val="000000" w:themeColor="text1"/>
              </w:rPr>
              <w:sym w:font="Symbol" w:char="F0B3"/>
            </w:r>
            <w:r>
              <w:rPr>
                <w:color w:val="000000" w:themeColor="text1"/>
              </w:rPr>
              <w:t xml:space="preserve"> 1000/</w:t>
            </w:r>
            <w:r>
              <w:rPr>
                <w:color w:val="000000" w:themeColor="text1"/>
              </w:rPr>
              <w:sym w:font="Symbol" w:char="F06D"/>
            </w:r>
            <w:r>
              <w:rPr>
                <w:color w:val="000000" w:themeColor="text1"/>
              </w:rPr>
              <w:t>L olması</w:t>
            </w:r>
          </w:p>
          <w:p w14:paraId="68E8158A" w14:textId="4B5B3FBE" w:rsidR="00FF55A3" w:rsidRPr="005656FD" w:rsidRDefault="00FF55A3" w:rsidP="005656FD">
            <w:pPr>
              <w:pStyle w:val="ListeParagraf"/>
              <w:numPr>
                <w:ilvl w:val="0"/>
                <w:numId w:val="4"/>
              </w:numPr>
              <w:rPr>
                <w:color w:val="000000" w:themeColor="text1"/>
              </w:rPr>
            </w:pPr>
            <w:r>
              <w:rPr>
                <w:color w:val="000000" w:themeColor="text1"/>
              </w:rPr>
              <w:t xml:space="preserve">Trombosit sayısının </w:t>
            </w:r>
            <w:r>
              <w:rPr>
                <w:color w:val="000000" w:themeColor="text1"/>
              </w:rPr>
              <w:sym w:font="Symbol" w:char="F0B3"/>
            </w:r>
            <w:r>
              <w:rPr>
                <w:color w:val="000000" w:themeColor="text1"/>
              </w:rPr>
              <w:t xml:space="preserve"> 100.000 /</w:t>
            </w:r>
            <w:r>
              <w:rPr>
                <w:color w:val="000000" w:themeColor="text1"/>
              </w:rPr>
              <w:sym w:font="Symbol" w:char="F06D"/>
            </w:r>
            <w:r>
              <w:rPr>
                <w:color w:val="000000" w:themeColor="text1"/>
              </w:rPr>
              <w:t>L olması</w:t>
            </w:r>
          </w:p>
          <w:p w14:paraId="68F336F3" w14:textId="77777777" w:rsidR="00D70E0B" w:rsidRDefault="00D70E0B" w:rsidP="00DD3491">
            <w:pPr>
              <w:rPr>
                <w:color w:val="000000" w:themeColor="text1"/>
              </w:rPr>
            </w:pPr>
          </w:p>
          <w:p w14:paraId="0F3D2D6A" w14:textId="77777777" w:rsidR="00D70E0B" w:rsidRDefault="00D70E0B" w:rsidP="00DD3491">
            <w:pPr>
              <w:rPr>
                <w:color w:val="000000" w:themeColor="text1"/>
              </w:rPr>
            </w:pPr>
          </w:p>
          <w:p w14:paraId="3903FAAC" w14:textId="77777777" w:rsidR="00D70E0B" w:rsidRDefault="00D70E0B" w:rsidP="00DD3491">
            <w:pPr>
              <w:rPr>
                <w:color w:val="000000" w:themeColor="text1"/>
              </w:rPr>
            </w:pPr>
          </w:p>
          <w:p w14:paraId="6954727F" w14:textId="6BE979ED" w:rsidR="00D70E0B" w:rsidRDefault="00D70E0B" w:rsidP="00DD3491">
            <w:pPr>
              <w:rPr>
                <w:color w:val="000000" w:themeColor="text1"/>
              </w:rPr>
            </w:pPr>
          </w:p>
        </w:tc>
      </w:tr>
      <w:tr w:rsidR="00D70E0B" w14:paraId="68E1E4C6" w14:textId="77777777" w:rsidTr="00D70E0B">
        <w:tc>
          <w:tcPr>
            <w:tcW w:w="2413" w:type="dxa"/>
          </w:tcPr>
          <w:p w14:paraId="50B1E1C9" w14:textId="2A644E08" w:rsidR="00150826" w:rsidRPr="005B6B5C" w:rsidRDefault="00A201A2" w:rsidP="00DD3491">
            <w:pPr>
              <w:rPr>
                <w:b/>
                <w:color w:val="000000" w:themeColor="text1"/>
              </w:rPr>
            </w:pPr>
            <w:r w:rsidRPr="005B6B5C">
              <w:rPr>
                <w:b/>
                <w:color w:val="000000" w:themeColor="text1"/>
              </w:rPr>
              <w:t>Tamamlanmamış hematolojik toparlanma ile birlikte TY</w:t>
            </w:r>
          </w:p>
        </w:tc>
        <w:tc>
          <w:tcPr>
            <w:tcW w:w="7079" w:type="dxa"/>
          </w:tcPr>
          <w:p w14:paraId="1EFDBCD2" w14:textId="77777777" w:rsidR="00A201A2" w:rsidRDefault="00A201A2" w:rsidP="00A201A2">
            <w:pPr>
              <w:rPr>
                <w:color w:val="000000" w:themeColor="text1"/>
              </w:rPr>
            </w:pPr>
            <w:r>
              <w:rPr>
                <w:color w:val="000000" w:themeColor="text1"/>
              </w:rPr>
              <w:t>Partiküllü ve hücre içeriği iyi olan Kİ’de blast yüzdesinin &lt; %5 olması; periferik kanda blast olmaması ve Auer cisimciği içeren blast olmaması; ekstramedüller hastalık olmaması;</w:t>
            </w:r>
          </w:p>
          <w:p w14:paraId="26EC9C8D" w14:textId="6B7DE5B6" w:rsidR="00A201A2" w:rsidRDefault="00A201A2" w:rsidP="00A201A2">
            <w:pPr>
              <w:pStyle w:val="ListeParagraf"/>
              <w:numPr>
                <w:ilvl w:val="0"/>
                <w:numId w:val="4"/>
              </w:numPr>
              <w:rPr>
                <w:color w:val="000000" w:themeColor="text1"/>
              </w:rPr>
            </w:pPr>
            <w:r>
              <w:rPr>
                <w:color w:val="000000" w:themeColor="text1"/>
              </w:rPr>
              <w:t>Mutlak nötrofil sayısının &lt; 1000/</w:t>
            </w:r>
            <w:r>
              <w:rPr>
                <w:color w:val="000000" w:themeColor="text1"/>
              </w:rPr>
              <w:sym w:font="Symbol" w:char="F06D"/>
            </w:r>
            <w:r>
              <w:rPr>
                <w:color w:val="000000" w:themeColor="text1"/>
              </w:rPr>
              <w:t>L olması</w:t>
            </w:r>
          </w:p>
          <w:p w14:paraId="5E3E8C03" w14:textId="24B805BE" w:rsidR="00A201A2" w:rsidRPr="005656FD" w:rsidRDefault="00A201A2" w:rsidP="00A201A2">
            <w:pPr>
              <w:pStyle w:val="ListeParagraf"/>
              <w:numPr>
                <w:ilvl w:val="0"/>
                <w:numId w:val="4"/>
              </w:numPr>
              <w:rPr>
                <w:color w:val="000000" w:themeColor="text1"/>
              </w:rPr>
            </w:pPr>
            <w:r>
              <w:rPr>
                <w:color w:val="000000" w:themeColor="text1"/>
              </w:rPr>
              <w:t>Trombosit sayısının &lt; 100.000 /</w:t>
            </w:r>
            <w:r>
              <w:rPr>
                <w:color w:val="000000" w:themeColor="text1"/>
              </w:rPr>
              <w:sym w:font="Symbol" w:char="F06D"/>
            </w:r>
            <w:r>
              <w:rPr>
                <w:color w:val="000000" w:themeColor="text1"/>
              </w:rPr>
              <w:t>L olması</w:t>
            </w:r>
          </w:p>
          <w:p w14:paraId="0EE94AF0" w14:textId="77777777" w:rsidR="00A201A2" w:rsidRDefault="00A201A2" w:rsidP="00A201A2">
            <w:pPr>
              <w:rPr>
                <w:color w:val="000000" w:themeColor="text1"/>
              </w:rPr>
            </w:pPr>
          </w:p>
          <w:p w14:paraId="532FB93B" w14:textId="425055F0" w:rsidR="00150826" w:rsidRDefault="00150826" w:rsidP="00DD3491">
            <w:pPr>
              <w:rPr>
                <w:color w:val="000000" w:themeColor="text1"/>
              </w:rPr>
            </w:pPr>
          </w:p>
        </w:tc>
      </w:tr>
      <w:tr w:rsidR="00D70E0B" w14:paraId="303926EA" w14:textId="77777777" w:rsidTr="00D70E0B">
        <w:tc>
          <w:tcPr>
            <w:tcW w:w="2413" w:type="dxa"/>
          </w:tcPr>
          <w:p w14:paraId="3D125FB0" w14:textId="67CE02FE" w:rsidR="00150826" w:rsidRPr="005B6B5C" w:rsidRDefault="008F6BE4" w:rsidP="00DD3491">
            <w:pPr>
              <w:rPr>
                <w:b/>
                <w:color w:val="000000" w:themeColor="text1"/>
              </w:rPr>
            </w:pPr>
            <w:r w:rsidRPr="005B6B5C">
              <w:rPr>
                <w:b/>
                <w:color w:val="000000" w:themeColor="text1"/>
              </w:rPr>
              <w:t>Morfolojik lösemisiz durum</w:t>
            </w:r>
          </w:p>
        </w:tc>
        <w:tc>
          <w:tcPr>
            <w:tcW w:w="7079" w:type="dxa"/>
          </w:tcPr>
          <w:p w14:paraId="04EDC207" w14:textId="22B10C0B" w:rsidR="00150826" w:rsidRDefault="00633A51" w:rsidP="00DD3491">
            <w:pPr>
              <w:rPr>
                <w:color w:val="000000" w:themeColor="text1"/>
              </w:rPr>
            </w:pPr>
            <w:r>
              <w:rPr>
                <w:color w:val="000000" w:themeColor="text1"/>
              </w:rPr>
              <w:t>Partiküllü ve hücre içeriği iyi olan Kİ’de blast yüzdesinin &lt; %5 olması; periferik kanda blast olmaması</w:t>
            </w:r>
          </w:p>
        </w:tc>
      </w:tr>
      <w:tr w:rsidR="00D70E0B" w14:paraId="41BA61FE" w14:textId="77777777" w:rsidTr="00D70E0B">
        <w:tc>
          <w:tcPr>
            <w:tcW w:w="2413" w:type="dxa"/>
          </w:tcPr>
          <w:p w14:paraId="1B96A478" w14:textId="147D4C4F" w:rsidR="00150826" w:rsidRPr="005B6B5C" w:rsidRDefault="00D43A4A" w:rsidP="00DD3491">
            <w:pPr>
              <w:rPr>
                <w:b/>
                <w:color w:val="000000" w:themeColor="text1"/>
              </w:rPr>
            </w:pPr>
            <w:r w:rsidRPr="005B6B5C">
              <w:rPr>
                <w:b/>
                <w:color w:val="000000" w:themeColor="text1"/>
              </w:rPr>
              <w:t>Minimal kalıntı hastalıksız (MKH) TY</w:t>
            </w:r>
          </w:p>
        </w:tc>
        <w:tc>
          <w:tcPr>
            <w:tcW w:w="7079" w:type="dxa"/>
          </w:tcPr>
          <w:p w14:paraId="7D3051AD" w14:textId="518C0C28" w:rsidR="00150826" w:rsidRDefault="00BF03BC" w:rsidP="0051729E">
            <w:pPr>
              <w:rPr>
                <w:color w:val="000000" w:themeColor="text1"/>
              </w:rPr>
            </w:pPr>
            <w:r>
              <w:rPr>
                <w:color w:val="000000" w:themeColor="text1"/>
              </w:rPr>
              <w:t xml:space="preserve">Tedavi öncesi çalışılmış olan genetik belirtecin </w:t>
            </w:r>
            <w:r w:rsidR="0051729E">
              <w:rPr>
                <w:color w:val="000000" w:themeColor="text1"/>
              </w:rPr>
              <w:t xml:space="preserve">RT-qPCR ile negatifliği ile birlikte TY veya </w:t>
            </w:r>
            <w:r>
              <w:rPr>
                <w:color w:val="000000" w:themeColor="text1"/>
              </w:rPr>
              <w:t xml:space="preserve">çok renkli flow (MCF) </w:t>
            </w:r>
            <w:r w:rsidR="0051729E">
              <w:rPr>
                <w:color w:val="000000" w:themeColor="text1"/>
              </w:rPr>
              <w:t xml:space="preserve"> negatifliği ile TY</w:t>
            </w:r>
          </w:p>
        </w:tc>
      </w:tr>
      <w:tr w:rsidR="00D70E0B" w14:paraId="55C1C53D" w14:textId="77777777" w:rsidTr="00D70E0B">
        <w:tc>
          <w:tcPr>
            <w:tcW w:w="2413" w:type="dxa"/>
          </w:tcPr>
          <w:p w14:paraId="264E28C3" w14:textId="18047B1A" w:rsidR="00150826" w:rsidRPr="005B6B5C" w:rsidRDefault="00455B52" w:rsidP="00DD3491">
            <w:pPr>
              <w:rPr>
                <w:b/>
                <w:color w:val="C00000"/>
              </w:rPr>
            </w:pPr>
            <w:r w:rsidRPr="005B6B5C">
              <w:rPr>
                <w:b/>
                <w:color w:val="C00000"/>
              </w:rPr>
              <w:t>Primer refrakter hastalık</w:t>
            </w:r>
          </w:p>
        </w:tc>
        <w:tc>
          <w:tcPr>
            <w:tcW w:w="7079" w:type="dxa"/>
          </w:tcPr>
          <w:p w14:paraId="1F7E925D" w14:textId="7EF35721" w:rsidR="00150826" w:rsidRPr="005B6B5C" w:rsidRDefault="00455B52" w:rsidP="00DD3491">
            <w:pPr>
              <w:rPr>
                <w:color w:val="C00000"/>
              </w:rPr>
            </w:pPr>
            <w:r w:rsidRPr="005B6B5C">
              <w:rPr>
                <w:color w:val="C00000"/>
              </w:rPr>
              <w:t xml:space="preserve">2 kür indüksiyon tedavisi sonrası TY elde edilememiş durum </w:t>
            </w:r>
          </w:p>
        </w:tc>
      </w:tr>
      <w:tr w:rsidR="00D70E0B" w14:paraId="63EF36CB" w14:textId="77777777" w:rsidTr="00D70E0B">
        <w:tc>
          <w:tcPr>
            <w:tcW w:w="2413" w:type="dxa"/>
          </w:tcPr>
          <w:p w14:paraId="05B88BA2" w14:textId="58628027" w:rsidR="00150826" w:rsidRPr="005B6B5C" w:rsidRDefault="00455B52" w:rsidP="00DD3491">
            <w:pPr>
              <w:rPr>
                <w:b/>
                <w:color w:val="C00000"/>
              </w:rPr>
            </w:pPr>
            <w:r w:rsidRPr="005B6B5C">
              <w:rPr>
                <w:b/>
                <w:color w:val="C00000"/>
              </w:rPr>
              <w:t>Nüks hastalık</w:t>
            </w:r>
          </w:p>
        </w:tc>
        <w:tc>
          <w:tcPr>
            <w:tcW w:w="7079" w:type="dxa"/>
          </w:tcPr>
          <w:p w14:paraId="13D16A7F" w14:textId="55DB390D" w:rsidR="00150826" w:rsidRPr="005B6B5C" w:rsidRDefault="00455B52" w:rsidP="00DD3491">
            <w:pPr>
              <w:rPr>
                <w:color w:val="C00000"/>
              </w:rPr>
            </w:pPr>
            <w:r w:rsidRPr="005B6B5C">
              <w:rPr>
                <w:color w:val="C00000"/>
              </w:rPr>
              <w:t>TY sonrası periferik kanda yeniden blast görülmesi veya kemik iliği aspirasyonunda blast yüzdesinin %5 üzerine çıkması</w:t>
            </w:r>
          </w:p>
        </w:tc>
      </w:tr>
      <w:tr w:rsidR="00D70E0B" w14:paraId="2A42955E" w14:textId="77777777" w:rsidTr="00455B52">
        <w:trPr>
          <w:trHeight w:val="292"/>
        </w:trPr>
        <w:tc>
          <w:tcPr>
            <w:tcW w:w="2413" w:type="dxa"/>
          </w:tcPr>
          <w:p w14:paraId="6B15ED79" w14:textId="66EB4A0F" w:rsidR="00150826" w:rsidRPr="005B6B5C" w:rsidRDefault="00455B52" w:rsidP="00DD3491">
            <w:pPr>
              <w:rPr>
                <w:b/>
                <w:color w:val="C00000"/>
              </w:rPr>
            </w:pPr>
            <w:r w:rsidRPr="005B6B5C">
              <w:rPr>
                <w:b/>
                <w:color w:val="C00000"/>
              </w:rPr>
              <w:t>Parsiyel yanıt (PY)</w:t>
            </w:r>
          </w:p>
        </w:tc>
        <w:tc>
          <w:tcPr>
            <w:tcW w:w="7079" w:type="dxa"/>
          </w:tcPr>
          <w:p w14:paraId="43443218" w14:textId="0427C429" w:rsidR="00150826" w:rsidRPr="005B6B5C" w:rsidRDefault="00455B52" w:rsidP="00DD3491">
            <w:pPr>
              <w:rPr>
                <w:color w:val="C00000"/>
              </w:rPr>
            </w:pPr>
            <w:r w:rsidRPr="005B6B5C">
              <w:rPr>
                <w:color w:val="C00000"/>
              </w:rPr>
              <w:t>TY’taki tüm hematolojik kriterler mevcut olmakla birlikte kemik iliği aspirasyonundaki blast oranının %5-25 olması veya, başlangıçtaki blast oranının en az %50 azalması</w:t>
            </w:r>
          </w:p>
        </w:tc>
      </w:tr>
    </w:tbl>
    <w:p w14:paraId="0247A900" w14:textId="77777777" w:rsidR="00DD3491" w:rsidRPr="00DD3491" w:rsidRDefault="00DD3491" w:rsidP="00DD3491">
      <w:pPr>
        <w:rPr>
          <w:color w:val="000000" w:themeColor="text1"/>
        </w:rPr>
      </w:pPr>
    </w:p>
    <w:p w14:paraId="51AC10EC" w14:textId="77777777" w:rsidR="00C16B97" w:rsidRDefault="00C16B97" w:rsidP="00B442FE">
      <w:pPr>
        <w:rPr>
          <w:b/>
          <w:color w:val="000000" w:themeColor="text1"/>
          <w:sz w:val="28"/>
          <w:szCs w:val="28"/>
        </w:rPr>
      </w:pPr>
    </w:p>
    <w:p w14:paraId="7F4CF9A0" w14:textId="6DCBA809" w:rsidR="00AC7507" w:rsidRDefault="00455F3D" w:rsidP="00B442FE">
      <w:pPr>
        <w:rPr>
          <w:b/>
          <w:color w:val="000000" w:themeColor="text1"/>
          <w:sz w:val="28"/>
          <w:szCs w:val="28"/>
        </w:rPr>
      </w:pPr>
      <w:r w:rsidRPr="00455F3D">
        <w:rPr>
          <w:b/>
          <w:color w:val="000000" w:themeColor="text1"/>
          <w:sz w:val="28"/>
          <w:szCs w:val="28"/>
        </w:rPr>
        <w:lastRenderedPageBreak/>
        <w:t>AML TEDAVİSİ</w:t>
      </w:r>
    </w:p>
    <w:p w14:paraId="38FA4CDE" w14:textId="5979797E" w:rsidR="00455F3D" w:rsidRDefault="00CD51CA" w:rsidP="00455F3D">
      <w:pPr>
        <w:pStyle w:val="ListeParagraf"/>
        <w:numPr>
          <w:ilvl w:val="0"/>
          <w:numId w:val="5"/>
        </w:numPr>
        <w:rPr>
          <w:b/>
          <w:color w:val="000000" w:themeColor="text1"/>
          <w:sz w:val="28"/>
          <w:szCs w:val="28"/>
        </w:rPr>
      </w:pPr>
      <w:r>
        <w:rPr>
          <w:b/>
          <w:color w:val="000000" w:themeColor="text1"/>
          <w:sz w:val="28"/>
          <w:szCs w:val="28"/>
        </w:rPr>
        <w:t>60/65 yaş altı, yoğun indüksiyon</w:t>
      </w:r>
      <w:r w:rsidR="00F20BA1">
        <w:rPr>
          <w:b/>
          <w:color w:val="000000" w:themeColor="text1"/>
          <w:sz w:val="28"/>
          <w:szCs w:val="28"/>
        </w:rPr>
        <w:t>/konsolidasyon</w:t>
      </w:r>
      <w:r>
        <w:rPr>
          <w:b/>
          <w:color w:val="000000" w:themeColor="text1"/>
          <w:sz w:val="28"/>
          <w:szCs w:val="28"/>
        </w:rPr>
        <w:t xml:space="preserve"> tedavisine uygun hastalar</w:t>
      </w:r>
    </w:p>
    <w:p w14:paraId="0536A40C" w14:textId="6AE7030A" w:rsidR="00CD51CA" w:rsidRPr="00E479ED" w:rsidRDefault="00F20BA1" w:rsidP="00CD51CA">
      <w:pPr>
        <w:ind w:left="360"/>
        <w:rPr>
          <w:b/>
          <w:color w:val="000000" w:themeColor="text1"/>
        </w:rPr>
      </w:pPr>
      <w:r w:rsidRPr="00E479ED">
        <w:rPr>
          <w:b/>
          <w:color w:val="000000" w:themeColor="text1"/>
        </w:rPr>
        <w:t>Remisyon İndüksiyon Tedavisi</w:t>
      </w:r>
      <w:r w:rsidR="00E479ED" w:rsidRPr="00E479ED">
        <w:rPr>
          <w:b/>
          <w:color w:val="000000" w:themeColor="text1"/>
        </w:rPr>
        <w:t xml:space="preserve"> ‘3+7’</w:t>
      </w:r>
    </w:p>
    <w:p w14:paraId="58FA8D35" w14:textId="77777777" w:rsidR="00E479ED" w:rsidRDefault="00E479ED" w:rsidP="00CD51CA">
      <w:pPr>
        <w:ind w:left="360"/>
        <w:rPr>
          <w:color w:val="000000" w:themeColor="text1"/>
        </w:rPr>
      </w:pPr>
    </w:p>
    <w:p w14:paraId="1F081FAB" w14:textId="7C4C1CF1" w:rsidR="00E479ED" w:rsidRPr="00E479ED" w:rsidRDefault="00E479ED" w:rsidP="00E479ED">
      <w:pPr>
        <w:pStyle w:val="ListeParagraf"/>
        <w:numPr>
          <w:ilvl w:val="0"/>
          <w:numId w:val="6"/>
        </w:numPr>
        <w:rPr>
          <w:color w:val="000000" w:themeColor="text1"/>
        </w:rPr>
      </w:pPr>
      <w:r w:rsidRPr="00E479ED">
        <w:rPr>
          <w:color w:val="000000" w:themeColor="text1"/>
        </w:rPr>
        <w:t>Sitarabin (ara-c) 7 gün süresince 100-200 mg/m</w:t>
      </w:r>
      <w:r w:rsidRPr="00E479ED">
        <w:rPr>
          <w:color w:val="000000" w:themeColor="text1"/>
          <w:vertAlign w:val="superscript"/>
        </w:rPr>
        <w:t>2</w:t>
      </w:r>
      <w:r w:rsidRPr="00E479ED">
        <w:rPr>
          <w:color w:val="000000" w:themeColor="text1"/>
        </w:rPr>
        <w:t>/gün uygulanmalıdır.</w:t>
      </w:r>
    </w:p>
    <w:p w14:paraId="4CA786BC" w14:textId="6BF14B25" w:rsidR="00E479ED" w:rsidRPr="00E479ED" w:rsidRDefault="00E479ED" w:rsidP="00E479ED">
      <w:pPr>
        <w:pStyle w:val="ListeParagraf"/>
        <w:numPr>
          <w:ilvl w:val="0"/>
          <w:numId w:val="6"/>
        </w:numPr>
        <w:rPr>
          <w:color w:val="000000" w:themeColor="text1"/>
        </w:rPr>
      </w:pPr>
      <w:r w:rsidRPr="00E479ED">
        <w:rPr>
          <w:color w:val="000000" w:themeColor="text1"/>
        </w:rPr>
        <w:t xml:space="preserve">Antrasiklin </w:t>
      </w:r>
      <w:r w:rsidR="00A3564B">
        <w:rPr>
          <w:color w:val="000000" w:themeColor="text1"/>
        </w:rPr>
        <w:t xml:space="preserve">(3 gün) </w:t>
      </w:r>
      <w:r w:rsidRPr="00E479ED">
        <w:rPr>
          <w:color w:val="000000" w:themeColor="text1"/>
        </w:rPr>
        <w:t>olarak daunorubisin dozu 60-</w:t>
      </w:r>
      <w:r w:rsidRPr="005A6586">
        <w:rPr>
          <w:color w:val="C00000"/>
        </w:rPr>
        <w:t>90</w:t>
      </w:r>
      <w:r w:rsidR="00704A70">
        <w:rPr>
          <w:color w:val="C00000"/>
        </w:rPr>
        <w:t>*</w:t>
      </w:r>
      <w:r w:rsidRPr="00E479ED">
        <w:rPr>
          <w:color w:val="000000" w:themeColor="text1"/>
        </w:rPr>
        <w:t xml:space="preserve"> mg/m</w:t>
      </w:r>
      <w:r w:rsidRPr="00E479ED">
        <w:rPr>
          <w:color w:val="000000" w:themeColor="text1"/>
          <w:vertAlign w:val="superscript"/>
        </w:rPr>
        <w:t>2</w:t>
      </w:r>
      <w:r w:rsidRPr="00E479ED">
        <w:rPr>
          <w:color w:val="000000" w:themeColor="text1"/>
        </w:rPr>
        <w:t>/gün veya</w:t>
      </w:r>
    </w:p>
    <w:p w14:paraId="0EB25370" w14:textId="322FC255" w:rsidR="00E479ED" w:rsidRDefault="00E479ED" w:rsidP="00CD51CA">
      <w:pPr>
        <w:ind w:left="360"/>
        <w:rPr>
          <w:color w:val="000000" w:themeColor="text1"/>
        </w:rPr>
      </w:pPr>
      <w:r>
        <w:rPr>
          <w:color w:val="000000" w:themeColor="text1"/>
        </w:rPr>
        <w:t xml:space="preserve">                                idarubisin 12 mg/m</w:t>
      </w:r>
      <w:r w:rsidRPr="00E479ED">
        <w:rPr>
          <w:color w:val="000000" w:themeColor="text1"/>
          <w:vertAlign w:val="superscript"/>
        </w:rPr>
        <w:t>2</w:t>
      </w:r>
      <w:r>
        <w:rPr>
          <w:color w:val="000000" w:themeColor="text1"/>
        </w:rPr>
        <w:t>/gün veya</w:t>
      </w:r>
    </w:p>
    <w:p w14:paraId="70CE3763" w14:textId="266E8028" w:rsidR="00E479ED" w:rsidRDefault="00E479ED" w:rsidP="00CD51CA">
      <w:pPr>
        <w:ind w:left="360"/>
        <w:rPr>
          <w:color w:val="000000" w:themeColor="text1"/>
        </w:rPr>
      </w:pPr>
      <w:r>
        <w:rPr>
          <w:color w:val="000000" w:themeColor="text1"/>
        </w:rPr>
        <w:t xml:space="preserve">                                mitoksantron 12 mg/m</w:t>
      </w:r>
      <w:r w:rsidRPr="00E479ED">
        <w:rPr>
          <w:color w:val="000000" w:themeColor="text1"/>
          <w:vertAlign w:val="superscript"/>
        </w:rPr>
        <w:t>2</w:t>
      </w:r>
      <w:r>
        <w:rPr>
          <w:color w:val="000000" w:themeColor="text1"/>
        </w:rPr>
        <w:t>/gün olmalıdır.</w:t>
      </w:r>
    </w:p>
    <w:p w14:paraId="127C5769" w14:textId="77777777" w:rsidR="00996269" w:rsidRPr="00E479ED" w:rsidRDefault="00996269" w:rsidP="00CD51CA">
      <w:pPr>
        <w:ind w:left="360"/>
        <w:rPr>
          <w:color w:val="000000" w:themeColor="text1"/>
        </w:rPr>
      </w:pPr>
    </w:p>
    <w:p w14:paraId="4491530C" w14:textId="162BD3A5" w:rsidR="00B674C7" w:rsidRPr="00704A70" w:rsidRDefault="0077777A" w:rsidP="00B674C7">
      <w:pPr>
        <w:ind w:left="360"/>
        <w:rPr>
          <w:color w:val="C00000"/>
        </w:rPr>
      </w:pPr>
      <w:r>
        <w:rPr>
          <w:color w:val="000000" w:themeColor="text1"/>
        </w:rPr>
        <w:t xml:space="preserve">       </w:t>
      </w:r>
      <w:r w:rsidRPr="00704A70">
        <w:rPr>
          <w:color w:val="C00000"/>
        </w:rPr>
        <w:t>(</w:t>
      </w:r>
      <w:r w:rsidR="00704A70" w:rsidRPr="00704A70">
        <w:rPr>
          <w:color w:val="C00000"/>
        </w:rPr>
        <w:t>*</w:t>
      </w:r>
      <w:r w:rsidRPr="00704A70">
        <w:rPr>
          <w:color w:val="C00000"/>
        </w:rPr>
        <w:t>FLT3 pozitif olgularda FLT3 inhibitörü kullanılamıyor ise 60 mg/m</w:t>
      </w:r>
      <w:r w:rsidRPr="00704A70">
        <w:rPr>
          <w:color w:val="C00000"/>
          <w:vertAlign w:val="superscript"/>
        </w:rPr>
        <w:t>2</w:t>
      </w:r>
      <w:r w:rsidRPr="00704A70">
        <w:rPr>
          <w:color w:val="C00000"/>
        </w:rPr>
        <w:t xml:space="preserve"> daunorubisin yerine 90 mg/m</w:t>
      </w:r>
      <w:r w:rsidRPr="00704A70">
        <w:rPr>
          <w:color w:val="C00000"/>
          <w:vertAlign w:val="superscript"/>
        </w:rPr>
        <w:t xml:space="preserve">2 </w:t>
      </w:r>
      <w:r w:rsidRPr="00704A70">
        <w:rPr>
          <w:color w:val="C00000"/>
        </w:rPr>
        <w:t>daunorubisin tercih edilebilir</w:t>
      </w:r>
      <w:r w:rsidR="00BF2002">
        <w:rPr>
          <w:color w:val="C00000"/>
        </w:rPr>
        <w:t>. 50 yaş altı iyi risk grubunda da bu doz seçilebilir.</w:t>
      </w:r>
      <w:r w:rsidRPr="00704A70">
        <w:rPr>
          <w:color w:val="C00000"/>
        </w:rPr>
        <w:t>)</w:t>
      </w:r>
    </w:p>
    <w:p w14:paraId="2945B37C" w14:textId="008E6249" w:rsidR="00E479ED" w:rsidRPr="005A6586" w:rsidRDefault="005A6586" w:rsidP="00E479ED">
      <w:pPr>
        <w:pStyle w:val="ListeParagraf"/>
        <w:numPr>
          <w:ilvl w:val="0"/>
          <w:numId w:val="6"/>
        </w:numPr>
        <w:rPr>
          <w:color w:val="C00000"/>
        </w:rPr>
      </w:pPr>
      <w:r w:rsidRPr="005A6586">
        <w:rPr>
          <w:color w:val="C00000"/>
        </w:rPr>
        <w:t xml:space="preserve">Tedavi sırasında G-CSF rutin olarak önerilmez. Seçilmiş hastalarda uygulanabilir. </w:t>
      </w:r>
    </w:p>
    <w:p w14:paraId="72035AAF" w14:textId="6F2E1B1E" w:rsidR="00E479ED" w:rsidRPr="005A6586" w:rsidRDefault="005A6586" w:rsidP="005A6586">
      <w:pPr>
        <w:pStyle w:val="ListeParagraf"/>
        <w:numPr>
          <w:ilvl w:val="0"/>
          <w:numId w:val="6"/>
        </w:numPr>
        <w:rPr>
          <w:color w:val="C00000"/>
        </w:rPr>
      </w:pPr>
      <w:r w:rsidRPr="005A6586">
        <w:rPr>
          <w:color w:val="C00000"/>
        </w:rPr>
        <w:t>İndüksiyon tedavisi sonrası remisyon değerlendirme için Kİ aspirasyonu hematolojik toparlanma olduktan sonra yapılmalı, tedavi başlangıcından sonra 30 günü geçmemelidir.</w:t>
      </w:r>
    </w:p>
    <w:p w14:paraId="6C0AA378" w14:textId="6F217BE7" w:rsidR="005A6586" w:rsidRPr="005A6586" w:rsidRDefault="005A6586" w:rsidP="005A6586">
      <w:pPr>
        <w:pStyle w:val="ListeParagraf"/>
        <w:rPr>
          <w:color w:val="C00000"/>
        </w:rPr>
      </w:pPr>
      <w:r w:rsidRPr="005A6586">
        <w:rPr>
          <w:color w:val="C00000"/>
        </w:rPr>
        <w:t>Erken değerlendirme yapmak isteyen merkezlerde 14-17. günlerde yapılabilir.</w:t>
      </w:r>
    </w:p>
    <w:p w14:paraId="05BAE616" w14:textId="77777777" w:rsidR="00E479ED" w:rsidRDefault="00E479ED" w:rsidP="00CD51CA">
      <w:pPr>
        <w:ind w:left="360"/>
        <w:rPr>
          <w:color w:val="000000" w:themeColor="text1"/>
        </w:rPr>
      </w:pPr>
    </w:p>
    <w:p w14:paraId="6E198CDE" w14:textId="743CAA15" w:rsidR="00E479ED" w:rsidRDefault="00F06390" w:rsidP="00F06390">
      <w:pPr>
        <w:pStyle w:val="ListeParagraf"/>
        <w:numPr>
          <w:ilvl w:val="0"/>
          <w:numId w:val="6"/>
        </w:numPr>
        <w:rPr>
          <w:color w:val="000000" w:themeColor="text1"/>
        </w:rPr>
      </w:pPr>
      <w:r>
        <w:rPr>
          <w:color w:val="000000" w:themeColor="text1"/>
        </w:rPr>
        <w:t>Remisyon değerlendirmesi için kemik iliği aspirasyon yaymasında en az 200 (200-500) hücre değerlendir</w:t>
      </w:r>
      <w:r w:rsidR="001E3A54">
        <w:rPr>
          <w:color w:val="000000" w:themeColor="text1"/>
        </w:rPr>
        <w:t>il</w:t>
      </w:r>
      <w:r>
        <w:rPr>
          <w:color w:val="000000" w:themeColor="text1"/>
        </w:rPr>
        <w:t xml:space="preserve">melidir. </w:t>
      </w:r>
    </w:p>
    <w:p w14:paraId="107B3EF5" w14:textId="632B0515" w:rsidR="00333456" w:rsidRDefault="00333456" w:rsidP="00F06390">
      <w:pPr>
        <w:pStyle w:val="ListeParagraf"/>
        <w:numPr>
          <w:ilvl w:val="0"/>
          <w:numId w:val="6"/>
        </w:numPr>
        <w:rPr>
          <w:color w:val="000000" w:themeColor="text1"/>
        </w:rPr>
      </w:pPr>
      <w:r>
        <w:rPr>
          <w:color w:val="000000" w:themeColor="text1"/>
        </w:rPr>
        <w:t xml:space="preserve">İndüksiyon tedavisi sırasında G-CSF kullanılmış ise kemik iliği değerlendirmesi ilaç kesildikten en az 7 gün sonra yapılmalıdır. </w:t>
      </w:r>
    </w:p>
    <w:p w14:paraId="2A632414" w14:textId="55FD6AC6" w:rsidR="00B674C7" w:rsidRDefault="00B674C7" w:rsidP="00F06390">
      <w:pPr>
        <w:pStyle w:val="ListeParagraf"/>
        <w:numPr>
          <w:ilvl w:val="0"/>
          <w:numId w:val="6"/>
        </w:numPr>
        <w:rPr>
          <w:color w:val="000000" w:themeColor="text1"/>
        </w:rPr>
      </w:pPr>
      <w:r>
        <w:rPr>
          <w:color w:val="000000" w:themeColor="text1"/>
        </w:rPr>
        <w:t xml:space="preserve">Orta ve yüksek risk grubu </w:t>
      </w:r>
      <w:r w:rsidR="00665B00">
        <w:rPr>
          <w:color w:val="000000" w:themeColor="text1"/>
        </w:rPr>
        <w:t xml:space="preserve">olgular, </w:t>
      </w:r>
      <w:r>
        <w:rPr>
          <w:color w:val="000000" w:themeColor="text1"/>
        </w:rPr>
        <w:t xml:space="preserve">varsa çalışma protokollerine yönlendirilmelidir. </w:t>
      </w:r>
    </w:p>
    <w:p w14:paraId="1BE4B01B" w14:textId="77777777" w:rsidR="000B648C" w:rsidRDefault="000B648C" w:rsidP="000B648C">
      <w:pPr>
        <w:rPr>
          <w:color w:val="000000" w:themeColor="text1"/>
        </w:rPr>
      </w:pPr>
    </w:p>
    <w:p w14:paraId="53905B7A" w14:textId="77777777" w:rsidR="000B648C" w:rsidRPr="000B648C" w:rsidRDefault="000B648C" w:rsidP="000B648C">
      <w:pPr>
        <w:rPr>
          <w:color w:val="000000" w:themeColor="text1"/>
        </w:rPr>
      </w:pPr>
    </w:p>
    <w:p w14:paraId="56797559" w14:textId="35CA703F" w:rsidR="007F5DAA" w:rsidRPr="007F5DAA" w:rsidRDefault="007F5DAA" w:rsidP="00DC2438">
      <w:pPr>
        <w:pStyle w:val="ListeParagraf"/>
        <w:rPr>
          <w:b/>
          <w:color w:val="000000" w:themeColor="text1"/>
        </w:rPr>
      </w:pPr>
    </w:p>
    <w:p w14:paraId="044EEA54" w14:textId="77777777" w:rsidR="007F5DAA" w:rsidRDefault="007F5DAA" w:rsidP="0031756E">
      <w:pPr>
        <w:rPr>
          <w:color w:val="000000" w:themeColor="text1"/>
        </w:rPr>
      </w:pPr>
    </w:p>
    <w:p w14:paraId="62803968" w14:textId="77777777" w:rsidR="007F5DAA" w:rsidRDefault="007F5DAA" w:rsidP="0031756E">
      <w:pPr>
        <w:rPr>
          <w:color w:val="000000" w:themeColor="text1"/>
        </w:rPr>
      </w:pPr>
    </w:p>
    <w:p w14:paraId="6133D839" w14:textId="02A065D8" w:rsidR="0031756E" w:rsidRDefault="0031756E" w:rsidP="0031756E">
      <w:pPr>
        <w:ind w:left="720"/>
        <w:rPr>
          <w:b/>
          <w:color w:val="000000" w:themeColor="text1"/>
        </w:rPr>
      </w:pPr>
      <w:r w:rsidRPr="0031756E">
        <w:rPr>
          <w:b/>
          <w:color w:val="000000" w:themeColor="text1"/>
        </w:rPr>
        <w:t>GÜNCEL TEDAVİLERİN YERİ</w:t>
      </w:r>
      <w:r>
        <w:rPr>
          <w:b/>
          <w:color w:val="000000" w:themeColor="text1"/>
        </w:rPr>
        <w:t xml:space="preserve"> (merkezlerin isteğine bağlı olarak) </w:t>
      </w:r>
    </w:p>
    <w:p w14:paraId="60ED0449" w14:textId="77777777" w:rsidR="0031756E" w:rsidRDefault="0031756E" w:rsidP="0031756E">
      <w:pPr>
        <w:ind w:left="720"/>
        <w:rPr>
          <w:b/>
          <w:color w:val="000000" w:themeColor="text1"/>
        </w:rPr>
      </w:pPr>
    </w:p>
    <w:p w14:paraId="2EDE3547" w14:textId="77777777" w:rsidR="00703825" w:rsidRDefault="00703825" w:rsidP="0031756E">
      <w:pPr>
        <w:ind w:left="720"/>
        <w:rPr>
          <w:b/>
          <w:color w:val="C00000"/>
        </w:rPr>
      </w:pPr>
    </w:p>
    <w:p w14:paraId="7FCA6039" w14:textId="74AA90F8" w:rsidR="0031756E" w:rsidRDefault="004B72E9" w:rsidP="0031756E">
      <w:pPr>
        <w:ind w:left="720"/>
        <w:rPr>
          <w:b/>
          <w:color w:val="000000" w:themeColor="text1"/>
        </w:rPr>
      </w:pPr>
      <w:r w:rsidRPr="004B72E9">
        <w:rPr>
          <w:b/>
          <w:color w:val="C00000"/>
        </w:rPr>
        <w:t xml:space="preserve">Öneri 1: </w:t>
      </w:r>
      <w:r w:rsidR="0031756E" w:rsidRPr="004B72E9">
        <w:rPr>
          <w:b/>
          <w:color w:val="000000" w:themeColor="text1"/>
        </w:rPr>
        <w:t>FLT3 inhibitörleri</w:t>
      </w:r>
      <w:r w:rsidR="00111061" w:rsidRPr="004B72E9">
        <w:rPr>
          <w:b/>
          <w:color w:val="000000" w:themeColor="text1"/>
        </w:rPr>
        <w:t>:</w:t>
      </w:r>
    </w:p>
    <w:p w14:paraId="1DAEBE1C" w14:textId="6BAC143B" w:rsidR="00703825" w:rsidRPr="004B72E9" w:rsidRDefault="00703825" w:rsidP="0031756E">
      <w:pPr>
        <w:ind w:left="720"/>
        <w:rPr>
          <w:b/>
          <w:color w:val="C00000"/>
        </w:rPr>
      </w:pPr>
      <w:r>
        <w:rPr>
          <w:b/>
          <w:color w:val="C00000"/>
        </w:rPr>
        <w:t xml:space="preserve">AML olgularında %27 FLT3 ITD mutasyonu saptanmakta olup TY oranını etkilemekle birlikte </w:t>
      </w:r>
      <w:r w:rsidR="008A6570">
        <w:rPr>
          <w:b/>
          <w:color w:val="C00000"/>
        </w:rPr>
        <w:t>relaps ve uzun dönem sağ kalımı etkilemektedir.</w:t>
      </w:r>
    </w:p>
    <w:p w14:paraId="5B453FE3" w14:textId="0AB0DBFB" w:rsidR="000B648C" w:rsidRPr="004B72E9" w:rsidRDefault="004B72E9" w:rsidP="000B648C">
      <w:pPr>
        <w:ind w:left="720"/>
        <w:rPr>
          <w:color w:val="000000" w:themeColor="text1"/>
        </w:rPr>
      </w:pPr>
      <w:r w:rsidRPr="004B72E9">
        <w:rPr>
          <w:color w:val="000000" w:themeColor="text1"/>
        </w:rPr>
        <w:t>FLT3 mutasyonu olan</w:t>
      </w:r>
      <w:r w:rsidR="00E3728C" w:rsidRPr="004B72E9">
        <w:rPr>
          <w:color w:val="000000" w:themeColor="text1"/>
        </w:rPr>
        <w:t xml:space="preserve"> hastalarda bakanlık onayı alınarak FLT3 inh</w:t>
      </w:r>
      <w:r w:rsidRPr="004B72E9">
        <w:rPr>
          <w:color w:val="000000" w:themeColor="text1"/>
        </w:rPr>
        <w:t>ibitörleri</w:t>
      </w:r>
      <w:r w:rsidR="00E3728C" w:rsidRPr="004B72E9">
        <w:rPr>
          <w:color w:val="000000" w:themeColor="text1"/>
        </w:rPr>
        <w:t xml:space="preserve"> (midastaurin) erken erişim programına başvurulabilir. </w:t>
      </w:r>
    </w:p>
    <w:p w14:paraId="39B682B7" w14:textId="091F9C9F" w:rsidR="00E3728C" w:rsidRDefault="00BC2E37" w:rsidP="004B72E9">
      <w:pPr>
        <w:pStyle w:val="ListeParagraf"/>
        <w:numPr>
          <w:ilvl w:val="0"/>
          <w:numId w:val="7"/>
        </w:numPr>
        <w:rPr>
          <w:color w:val="000000" w:themeColor="text1"/>
        </w:rPr>
      </w:pPr>
      <w:r w:rsidRPr="004B72E9">
        <w:rPr>
          <w:color w:val="000000" w:themeColor="text1"/>
        </w:rPr>
        <w:t xml:space="preserve">Günde 2 kez </w:t>
      </w:r>
      <w:r w:rsidR="004B72E9" w:rsidRPr="004B72E9">
        <w:rPr>
          <w:color w:val="000000" w:themeColor="text1"/>
        </w:rPr>
        <w:t>oral 50 mg 8-21. Günlerde eklenebilir.</w:t>
      </w:r>
    </w:p>
    <w:p w14:paraId="4E887174" w14:textId="77777777" w:rsidR="004B72E9" w:rsidRDefault="004B72E9" w:rsidP="004B72E9">
      <w:pPr>
        <w:rPr>
          <w:color w:val="000000" w:themeColor="text1"/>
        </w:rPr>
      </w:pPr>
    </w:p>
    <w:p w14:paraId="60D66A59" w14:textId="1CBAB4DF" w:rsidR="004B72E9" w:rsidRPr="004B72E9" w:rsidRDefault="004B72E9" w:rsidP="004B72E9">
      <w:pPr>
        <w:rPr>
          <w:color w:val="000000" w:themeColor="text1"/>
        </w:rPr>
      </w:pPr>
      <w:r>
        <w:rPr>
          <w:color w:val="000000" w:themeColor="text1"/>
        </w:rPr>
        <w:t xml:space="preserve">             </w:t>
      </w:r>
      <w:r w:rsidRPr="004B72E9">
        <w:rPr>
          <w:b/>
          <w:color w:val="C00000"/>
        </w:rPr>
        <w:t>Öneri 2:</w:t>
      </w:r>
      <w:r w:rsidRPr="004B72E9">
        <w:rPr>
          <w:color w:val="C00000"/>
        </w:rPr>
        <w:t xml:space="preserve"> </w:t>
      </w:r>
      <w:r w:rsidRPr="004B72E9">
        <w:rPr>
          <w:b/>
          <w:color w:val="000000" w:themeColor="text1"/>
        </w:rPr>
        <w:t>Gemtuzumab Ozogamisin</w:t>
      </w:r>
    </w:p>
    <w:p w14:paraId="2B7823E0" w14:textId="4434DFEB" w:rsidR="00E96A5C" w:rsidRDefault="00607E26" w:rsidP="00422D91">
      <w:pPr>
        <w:ind w:left="360"/>
        <w:rPr>
          <w:color w:val="000000" w:themeColor="text1"/>
        </w:rPr>
      </w:pPr>
      <w:r>
        <w:rPr>
          <w:color w:val="000000" w:themeColor="text1"/>
        </w:rPr>
        <w:t xml:space="preserve">      </w:t>
      </w:r>
      <w:r w:rsidR="004E11F2">
        <w:rPr>
          <w:color w:val="000000" w:themeColor="text1"/>
        </w:rPr>
        <w:t xml:space="preserve"> </w:t>
      </w:r>
      <w:r w:rsidR="004B72E9">
        <w:rPr>
          <w:color w:val="000000" w:themeColor="text1"/>
        </w:rPr>
        <w:t xml:space="preserve">CD 33 pozitif AML’lerde </w:t>
      </w:r>
      <w:r w:rsidR="00422D91">
        <w:rPr>
          <w:color w:val="000000" w:themeColor="text1"/>
        </w:rPr>
        <w:t xml:space="preserve"> </w:t>
      </w:r>
      <w:r w:rsidR="009F3B79">
        <w:rPr>
          <w:color w:val="000000" w:themeColor="text1"/>
        </w:rPr>
        <w:t xml:space="preserve">özellikle iyi </w:t>
      </w:r>
      <w:r w:rsidR="00496D93">
        <w:rPr>
          <w:color w:val="000000" w:themeColor="text1"/>
        </w:rPr>
        <w:t xml:space="preserve">risk AML’de </w:t>
      </w:r>
      <w:r w:rsidR="00422D91">
        <w:rPr>
          <w:color w:val="000000" w:themeColor="text1"/>
        </w:rPr>
        <w:t>i</w:t>
      </w:r>
      <w:r w:rsidR="00B47576">
        <w:rPr>
          <w:color w:val="000000" w:themeColor="text1"/>
        </w:rPr>
        <w:t>ndüksiyon tedavisinin 1.,4.,7. günlerinde</w:t>
      </w:r>
      <w:r>
        <w:rPr>
          <w:color w:val="000000" w:themeColor="text1"/>
        </w:rPr>
        <w:t xml:space="preserve"> </w:t>
      </w:r>
      <w:r w:rsidR="002143A0">
        <w:rPr>
          <w:color w:val="000000" w:themeColor="text1"/>
        </w:rPr>
        <w:t>3</w:t>
      </w:r>
      <w:r w:rsidR="00496D93">
        <w:rPr>
          <w:color w:val="000000" w:themeColor="text1"/>
        </w:rPr>
        <w:t xml:space="preserve"> </w:t>
      </w:r>
      <w:r w:rsidR="002143A0">
        <w:rPr>
          <w:color w:val="000000" w:themeColor="text1"/>
        </w:rPr>
        <w:t>mg/</w:t>
      </w:r>
      <w:r w:rsidR="002143A0" w:rsidRPr="002143A0">
        <w:rPr>
          <w:color w:val="000000" w:themeColor="text1"/>
        </w:rPr>
        <w:t>m</w:t>
      </w:r>
      <w:r w:rsidR="002143A0">
        <w:rPr>
          <w:color w:val="000000" w:themeColor="text1"/>
          <w:vertAlign w:val="superscript"/>
        </w:rPr>
        <w:t xml:space="preserve">2 </w:t>
      </w:r>
      <w:r w:rsidR="002143A0" w:rsidRPr="002143A0">
        <w:rPr>
          <w:color w:val="000000" w:themeColor="text1"/>
        </w:rPr>
        <w:t>(en fazla 5</w:t>
      </w:r>
      <w:r w:rsidR="002143A0">
        <w:rPr>
          <w:color w:val="000000" w:themeColor="text1"/>
          <w:vertAlign w:val="superscript"/>
        </w:rPr>
        <w:t xml:space="preserve"> </w:t>
      </w:r>
      <w:r w:rsidR="002143A0">
        <w:rPr>
          <w:color w:val="000000" w:themeColor="text1"/>
        </w:rPr>
        <w:t xml:space="preserve">mg olacak şekilde) </w:t>
      </w:r>
      <w:r w:rsidRPr="002143A0">
        <w:rPr>
          <w:color w:val="000000" w:themeColor="text1"/>
        </w:rPr>
        <w:t>eklenebilir.</w:t>
      </w:r>
      <w:r>
        <w:rPr>
          <w:color w:val="000000" w:themeColor="text1"/>
        </w:rPr>
        <w:t xml:space="preserve"> </w:t>
      </w:r>
      <w:r w:rsidR="00224F54">
        <w:rPr>
          <w:color w:val="000000" w:themeColor="text1"/>
        </w:rPr>
        <w:t>İlacın kul</w:t>
      </w:r>
      <w:r w:rsidR="000164D1">
        <w:rPr>
          <w:color w:val="000000" w:themeColor="text1"/>
        </w:rPr>
        <w:t>lanımı için Sağlık Bakanlığı indikasyon dışı</w:t>
      </w:r>
      <w:r w:rsidR="005D0E85">
        <w:rPr>
          <w:color w:val="000000" w:themeColor="text1"/>
        </w:rPr>
        <w:t xml:space="preserve"> ilaç kullanımı</w:t>
      </w:r>
      <w:r w:rsidR="000164D1">
        <w:rPr>
          <w:color w:val="000000" w:themeColor="text1"/>
        </w:rPr>
        <w:t xml:space="preserve"> onayı alınması</w:t>
      </w:r>
      <w:r w:rsidR="00224F54">
        <w:rPr>
          <w:color w:val="000000" w:themeColor="text1"/>
        </w:rPr>
        <w:t xml:space="preserve"> gerekmektedir. </w:t>
      </w:r>
      <w:r>
        <w:rPr>
          <w:color w:val="000000" w:themeColor="text1"/>
        </w:rPr>
        <w:t xml:space="preserve"> </w:t>
      </w:r>
    </w:p>
    <w:p w14:paraId="6F45E6AE" w14:textId="3D8CAF36" w:rsidR="004E11F2" w:rsidRDefault="004E11F2" w:rsidP="00422D91">
      <w:pPr>
        <w:ind w:left="360"/>
        <w:rPr>
          <w:color w:val="000000" w:themeColor="text1"/>
        </w:rPr>
      </w:pPr>
    </w:p>
    <w:p w14:paraId="2704CA7F" w14:textId="2D2C9AB4" w:rsidR="00B45EF2" w:rsidRDefault="00B45EF2" w:rsidP="00422D91">
      <w:pPr>
        <w:ind w:left="360"/>
        <w:rPr>
          <w:color w:val="000000" w:themeColor="text1"/>
        </w:rPr>
      </w:pPr>
    </w:p>
    <w:p w14:paraId="0528807B" w14:textId="77777777" w:rsidR="003A2329" w:rsidRDefault="003A2329" w:rsidP="00422D91">
      <w:pPr>
        <w:ind w:left="360"/>
        <w:rPr>
          <w:color w:val="000000" w:themeColor="text1"/>
        </w:rPr>
      </w:pPr>
    </w:p>
    <w:p w14:paraId="7DD59365" w14:textId="77777777" w:rsidR="003A2329" w:rsidRDefault="003A2329" w:rsidP="00422D91">
      <w:pPr>
        <w:ind w:left="360"/>
        <w:rPr>
          <w:color w:val="000000" w:themeColor="text1"/>
        </w:rPr>
      </w:pPr>
    </w:p>
    <w:p w14:paraId="7A7C5590" w14:textId="22BDDF9C" w:rsidR="00DC2438" w:rsidRPr="007F5DAA" w:rsidRDefault="00DC2438" w:rsidP="008A7C78">
      <w:pPr>
        <w:rPr>
          <w:color w:val="000000"/>
          <w:lang w:eastAsia="en-US"/>
        </w:rPr>
      </w:pPr>
    </w:p>
    <w:p w14:paraId="17AAE91F" w14:textId="062241AC" w:rsidR="00E479ED" w:rsidRPr="00B45EF2" w:rsidRDefault="00E479ED" w:rsidP="00CD51CA">
      <w:pPr>
        <w:ind w:left="360"/>
        <w:rPr>
          <w:b/>
          <w:color w:val="000000" w:themeColor="text1"/>
        </w:rPr>
      </w:pPr>
    </w:p>
    <w:p w14:paraId="12BDFD11" w14:textId="77777777" w:rsidR="00E479ED" w:rsidRDefault="00E479ED" w:rsidP="00CD51CA">
      <w:pPr>
        <w:ind w:left="360"/>
        <w:rPr>
          <w:color w:val="000000" w:themeColor="text1"/>
        </w:rPr>
      </w:pPr>
    </w:p>
    <w:p w14:paraId="50533DC8" w14:textId="77777777" w:rsidR="00A3564B" w:rsidRDefault="00A3564B" w:rsidP="00CD51CA">
      <w:pPr>
        <w:ind w:left="360"/>
        <w:rPr>
          <w:b/>
          <w:color w:val="000000" w:themeColor="text1"/>
          <w:sz w:val="28"/>
          <w:szCs w:val="28"/>
        </w:rPr>
      </w:pPr>
    </w:p>
    <w:p w14:paraId="1DA22E80" w14:textId="0E4E21AF" w:rsidR="00E479ED" w:rsidRDefault="00B14466" w:rsidP="00CD51CA">
      <w:pPr>
        <w:ind w:left="360"/>
        <w:rPr>
          <w:b/>
          <w:color w:val="000000" w:themeColor="text1"/>
          <w:sz w:val="28"/>
          <w:szCs w:val="28"/>
        </w:rPr>
      </w:pPr>
      <w:r w:rsidRPr="00B14466">
        <w:rPr>
          <w:b/>
          <w:color w:val="000000" w:themeColor="text1"/>
          <w:sz w:val="28"/>
          <w:szCs w:val="28"/>
        </w:rPr>
        <w:t>B:  &gt;60/65 yaş</w:t>
      </w:r>
      <w:r w:rsidR="000F50D3" w:rsidRPr="00B14466">
        <w:rPr>
          <w:b/>
          <w:color w:val="000000" w:themeColor="text1"/>
          <w:sz w:val="28"/>
          <w:szCs w:val="28"/>
        </w:rPr>
        <w:t xml:space="preserve"> </w:t>
      </w:r>
      <w:r w:rsidRPr="00B14466">
        <w:rPr>
          <w:b/>
          <w:color w:val="000000" w:themeColor="text1"/>
          <w:sz w:val="28"/>
          <w:szCs w:val="28"/>
        </w:rPr>
        <w:t xml:space="preserve">üstü Yoğun indüksiyon tedavilerine uygun olmayan hastalarda </w:t>
      </w:r>
      <w:r w:rsidR="000F50D3" w:rsidRPr="00B14466">
        <w:rPr>
          <w:b/>
          <w:color w:val="000000" w:themeColor="text1"/>
          <w:sz w:val="28"/>
          <w:szCs w:val="28"/>
        </w:rPr>
        <w:t>AML tedavisi</w:t>
      </w:r>
    </w:p>
    <w:p w14:paraId="666EF969" w14:textId="77777777" w:rsidR="00B14466" w:rsidRDefault="00B14466" w:rsidP="00CD51CA">
      <w:pPr>
        <w:ind w:left="360"/>
        <w:rPr>
          <w:b/>
          <w:color w:val="000000" w:themeColor="text1"/>
          <w:sz w:val="28"/>
          <w:szCs w:val="28"/>
        </w:rPr>
      </w:pPr>
    </w:p>
    <w:p w14:paraId="4A630BE2" w14:textId="4316A7AE" w:rsidR="00B14466" w:rsidRDefault="00B14466" w:rsidP="00CD51CA">
      <w:pPr>
        <w:ind w:left="360"/>
        <w:rPr>
          <w:color w:val="000000" w:themeColor="text1"/>
        </w:rPr>
      </w:pPr>
      <w:r w:rsidRPr="00303250">
        <w:rPr>
          <w:color w:val="000000" w:themeColor="text1"/>
        </w:rPr>
        <w:t xml:space="preserve">Bu olgularda tedavi seçimlerine sadece </w:t>
      </w:r>
      <w:r w:rsidR="00365B53">
        <w:rPr>
          <w:color w:val="000000" w:themeColor="text1"/>
        </w:rPr>
        <w:t xml:space="preserve">hastanın </w:t>
      </w:r>
      <w:r w:rsidRPr="00303250">
        <w:rPr>
          <w:color w:val="000000" w:themeColor="text1"/>
        </w:rPr>
        <w:t>yaşına göre karar verilmemeli, hastanın performans durumu</w:t>
      </w:r>
      <w:r w:rsidR="00365B53">
        <w:rPr>
          <w:color w:val="000000" w:themeColor="text1"/>
        </w:rPr>
        <w:t>, ko-morbit hastalıkların varlıkları birlikte değerlendirilmelidir.</w:t>
      </w:r>
    </w:p>
    <w:p w14:paraId="780A6D79" w14:textId="572B8744" w:rsidR="00365B53" w:rsidRPr="00303250" w:rsidRDefault="00365B53" w:rsidP="00CD51CA">
      <w:pPr>
        <w:ind w:left="360"/>
        <w:rPr>
          <w:color w:val="000000" w:themeColor="text1"/>
        </w:rPr>
      </w:pPr>
      <w:r>
        <w:rPr>
          <w:color w:val="000000" w:themeColor="text1"/>
        </w:rPr>
        <w:t>Ciddi ko-morbiditesi olan hastalarda sadece destek tedavisi tercih edilebilir.</w:t>
      </w:r>
    </w:p>
    <w:p w14:paraId="12867FDA" w14:textId="77777777" w:rsidR="000F50D3" w:rsidRPr="00303250" w:rsidRDefault="000F50D3" w:rsidP="00CD51CA">
      <w:pPr>
        <w:ind w:left="360"/>
        <w:rPr>
          <w:color w:val="000000" w:themeColor="text1"/>
        </w:rPr>
      </w:pPr>
    </w:p>
    <w:p w14:paraId="4CE39381" w14:textId="495780D4" w:rsidR="000F50D3" w:rsidRPr="00303250" w:rsidRDefault="000F50D3" w:rsidP="000F50D3">
      <w:pPr>
        <w:pStyle w:val="ListeParagraf"/>
        <w:numPr>
          <w:ilvl w:val="0"/>
          <w:numId w:val="8"/>
        </w:numPr>
        <w:rPr>
          <w:color w:val="000000" w:themeColor="text1"/>
        </w:rPr>
      </w:pPr>
      <w:r w:rsidRPr="00303250">
        <w:rPr>
          <w:color w:val="000000" w:themeColor="text1"/>
        </w:rPr>
        <w:t>Azasitidin: 75 mg/m</w:t>
      </w:r>
      <w:r w:rsidRPr="00303250">
        <w:rPr>
          <w:color w:val="000000" w:themeColor="text1"/>
          <w:vertAlign w:val="superscript"/>
        </w:rPr>
        <w:t xml:space="preserve">2 </w:t>
      </w:r>
      <w:r w:rsidRPr="00303250">
        <w:rPr>
          <w:color w:val="000000" w:themeColor="text1"/>
        </w:rPr>
        <w:t>SC, 1-7. Günlerde, 4 haftada bir, progresyona kadar</w:t>
      </w:r>
    </w:p>
    <w:p w14:paraId="4BA06939" w14:textId="71238C0A" w:rsidR="000F50D3" w:rsidRPr="00303250" w:rsidRDefault="000F50D3" w:rsidP="000F50D3">
      <w:pPr>
        <w:pStyle w:val="ListeParagraf"/>
        <w:numPr>
          <w:ilvl w:val="0"/>
          <w:numId w:val="8"/>
        </w:numPr>
        <w:rPr>
          <w:color w:val="000000" w:themeColor="text1"/>
        </w:rPr>
      </w:pPr>
      <w:r w:rsidRPr="00303250">
        <w:rPr>
          <w:color w:val="000000" w:themeColor="text1"/>
        </w:rPr>
        <w:t>Desitabin: 20 mg/m</w:t>
      </w:r>
      <w:r w:rsidRPr="00303250">
        <w:rPr>
          <w:color w:val="000000" w:themeColor="text1"/>
          <w:vertAlign w:val="superscript"/>
        </w:rPr>
        <w:t xml:space="preserve">2 </w:t>
      </w:r>
      <w:r w:rsidRPr="00303250">
        <w:rPr>
          <w:color w:val="000000" w:themeColor="text1"/>
        </w:rPr>
        <w:t>SC, 1-5. Günlerde, 4 haftada bir, progresyona kadar</w:t>
      </w:r>
    </w:p>
    <w:p w14:paraId="7BC0486D" w14:textId="5494E154" w:rsidR="000F50D3" w:rsidRPr="00303250" w:rsidRDefault="000F50D3" w:rsidP="000F50D3">
      <w:pPr>
        <w:pStyle w:val="ListeParagraf"/>
        <w:numPr>
          <w:ilvl w:val="0"/>
          <w:numId w:val="8"/>
        </w:numPr>
        <w:rPr>
          <w:color w:val="000000" w:themeColor="text1"/>
        </w:rPr>
      </w:pPr>
      <w:r w:rsidRPr="00303250">
        <w:rPr>
          <w:color w:val="000000" w:themeColor="text1"/>
        </w:rPr>
        <w:t>Düşük doz sitarabin: 20 mg x 2/gün SC, 1-10. Günler, progresyona kadar ( kötü risk faktörü olanlarda önerilmez)</w:t>
      </w:r>
    </w:p>
    <w:p w14:paraId="1AA773E9" w14:textId="103BB0C6" w:rsidR="000F50D3" w:rsidRPr="00303250" w:rsidRDefault="000F50D3" w:rsidP="000F50D3">
      <w:pPr>
        <w:pStyle w:val="ListeParagraf"/>
        <w:numPr>
          <w:ilvl w:val="0"/>
          <w:numId w:val="8"/>
        </w:numPr>
        <w:rPr>
          <w:color w:val="000000" w:themeColor="text1"/>
        </w:rPr>
      </w:pPr>
      <w:r w:rsidRPr="00303250">
        <w:rPr>
          <w:color w:val="000000" w:themeColor="text1"/>
        </w:rPr>
        <w:t xml:space="preserve">Anti-lösemik tedaviyi alamayacak durumda olanlar için hidroksiüre </w:t>
      </w:r>
      <w:r w:rsidR="008D05FB" w:rsidRPr="00303250">
        <w:rPr>
          <w:color w:val="000000" w:themeColor="text1"/>
        </w:rPr>
        <w:t>ve destek tedavisi</w:t>
      </w:r>
    </w:p>
    <w:p w14:paraId="1987F7D7" w14:textId="663999FE" w:rsidR="008D05FB" w:rsidRPr="00303250" w:rsidRDefault="008D05FB" w:rsidP="000F50D3">
      <w:pPr>
        <w:pStyle w:val="ListeParagraf"/>
        <w:numPr>
          <w:ilvl w:val="0"/>
          <w:numId w:val="8"/>
        </w:numPr>
        <w:rPr>
          <w:color w:val="000000" w:themeColor="text1"/>
        </w:rPr>
      </w:pPr>
      <w:r w:rsidRPr="00303250">
        <w:rPr>
          <w:color w:val="000000" w:themeColor="text1"/>
        </w:rPr>
        <w:t>Uygun hastalar güncel ajanlar için var olan klinik çalışmalara alınabilirler.</w:t>
      </w:r>
    </w:p>
    <w:p w14:paraId="5CF96236" w14:textId="77777777" w:rsidR="008D05FB" w:rsidRPr="00303250" w:rsidRDefault="008D05FB" w:rsidP="008D05FB">
      <w:pPr>
        <w:rPr>
          <w:color w:val="000000" w:themeColor="text1"/>
        </w:rPr>
      </w:pPr>
    </w:p>
    <w:p w14:paraId="71DE9640" w14:textId="43384EEB" w:rsidR="00E479ED" w:rsidRPr="007A2C3E" w:rsidRDefault="00C1487B" w:rsidP="00CD51CA">
      <w:pPr>
        <w:ind w:left="360"/>
        <w:rPr>
          <w:color w:val="FF0000"/>
        </w:rPr>
      </w:pPr>
      <w:r w:rsidRPr="007A2C3E">
        <w:rPr>
          <w:color w:val="FF0000"/>
        </w:rPr>
        <w:t xml:space="preserve">Öneri: </w:t>
      </w:r>
    </w:p>
    <w:p w14:paraId="1E1F9B7F" w14:textId="3D9D10AF" w:rsidR="00C51408" w:rsidRDefault="00C1487B" w:rsidP="00C51408">
      <w:pPr>
        <w:ind w:left="360"/>
        <w:rPr>
          <w:color w:val="0070C0"/>
        </w:rPr>
      </w:pPr>
      <w:r w:rsidRPr="005A0463">
        <w:rPr>
          <w:color w:val="0070C0"/>
        </w:rPr>
        <w:t xml:space="preserve">İleri yaş </w:t>
      </w:r>
      <w:r w:rsidR="00BE38E1">
        <w:rPr>
          <w:color w:val="0070C0"/>
        </w:rPr>
        <w:t xml:space="preserve">olgularda GO’nin OS üzerindeki etkisine ilişkin farklı sonuçlar bulunmakla birlikte </w:t>
      </w:r>
      <w:r w:rsidR="00A240BA" w:rsidRPr="005A0463">
        <w:rPr>
          <w:color w:val="0070C0"/>
        </w:rPr>
        <w:t xml:space="preserve"> (</w:t>
      </w:r>
      <w:r w:rsidR="00BE38E1">
        <w:rPr>
          <w:color w:val="0070C0"/>
        </w:rPr>
        <w:t>1,2,3,4);</w:t>
      </w:r>
    </w:p>
    <w:p w14:paraId="6B224691" w14:textId="04157188" w:rsidR="004876CD" w:rsidRDefault="004876CD" w:rsidP="00CD51CA">
      <w:pPr>
        <w:ind w:left="360"/>
        <w:rPr>
          <w:color w:val="0070C0"/>
        </w:rPr>
      </w:pPr>
      <w:r>
        <w:rPr>
          <w:color w:val="0070C0"/>
        </w:rPr>
        <w:t>GO: 6 mg/m</w:t>
      </w:r>
      <w:r w:rsidRPr="004876CD">
        <w:rPr>
          <w:color w:val="0070C0"/>
          <w:vertAlign w:val="superscript"/>
        </w:rPr>
        <w:t>2</w:t>
      </w:r>
      <w:r>
        <w:rPr>
          <w:color w:val="0070C0"/>
        </w:rPr>
        <w:t xml:space="preserve"> 1. Gün ve 3 mg/m</w:t>
      </w:r>
      <w:r w:rsidRPr="004876CD">
        <w:rPr>
          <w:color w:val="0070C0"/>
          <w:vertAlign w:val="superscript"/>
        </w:rPr>
        <w:t>2</w:t>
      </w:r>
      <w:r>
        <w:rPr>
          <w:color w:val="0070C0"/>
          <w:vertAlign w:val="superscript"/>
        </w:rPr>
        <w:t xml:space="preserve"> </w:t>
      </w:r>
      <w:r>
        <w:rPr>
          <w:color w:val="0070C0"/>
        </w:rPr>
        <w:t>8. Gün indüksiyon tedavisi olarak kullanılabilir.</w:t>
      </w:r>
    </w:p>
    <w:p w14:paraId="658539AD" w14:textId="77777777" w:rsidR="009260AC" w:rsidRDefault="009260AC" w:rsidP="00CD51CA">
      <w:pPr>
        <w:ind w:left="360"/>
        <w:rPr>
          <w:color w:val="0070C0"/>
        </w:rPr>
      </w:pPr>
    </w:p>
    <w:p w14:paraId="3F392F39" w14:textId="7664786F" w:rsidR="00CC76F8" w:rsidRPr="00CC76F8" w:rsidRDefault="00CC76F8" w:rsidP="002C06E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rPr>
      </w:pPr>
    </w:p>
    <w:p w14:paraId="10740746" w14:textId="77777777" w:rsidR="00CC76F8" w:rsidRDefault="00CC76F8" w:rsidP="00BE38E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9DF9929" w14:textId="307AB5D4" w:rsidR="004966E8" w:rsidRDefault="004966E8" w:rsidP="00CD51CA">
      <w:pPr>
        <w:ind w:left="360"/>
        <w:rPr>
          <w:b/>
          <w:color w:val="000000" w:themeColor="text1"/>
          <w:sz w:val="28"/>
          <w:szCs w:val="28"/>
        </w:rPr>
      </w:pPr>
      <w:r w:rsidRPr="008B1DFD">
        <w:rPr>
          <w:b/>
          <w:color w:val="000000" w:themeColor="text1"/>
          <w:sz w:val="28"/>
          <w:szCs w:val="28"/>
        </w:rPr>
        <w:t xml:space="preserve">Konsolidasyon tedavisi </w:t>
      </w:r>
    </w:p>
    <w:p w14:paraId="6FFEB2AA" w14:textId="35648448" w:rsidR="008B1DFD" w:rsidRDefault="00403DA1" w:rsidP="00403DA1">
      <w:pPr>
        <w:pStyle w:val="ListeParagraf"/>
        <w:numPr>
          <w:ilvl w:val="0"/>
          <w:numId w:val="10"/>
        </w:numPr>
        <w:rPr>
          <w:color w:val="000000" w:themeColor="text1"/>
        </w:rPr>
      </w:pPr>
      <w:r w:rsidRPr="008C4B0A">
        <w:rPr>
          <w:b/>
          <w:color w:val="000000" w:themeColor="text1"/>
        </w:rPr>
        <w:t xml:space="preserve">İyi risk </w:t>
      </w:r>
      <w:r w:rsidR="008C4B0A" w:rsidRPr="008C4B0A">
        <w:rPr>
          <w:b/>
          <w:color w:val="000000" w:themeColor="text1"/>
        </w:rPr>
        <w:t>hasta grubu</w:t>
      </w:r>
      <w:r w:rsidR="008C4B0A">
        <w:rPr>
          <w:color w:val="000000" w:themeColor="text1"/>
        </w:rPr>
        <w:t xml:space="preserve">: </w:t>
      </w:r>
      <w:r>
        <w:rPr>
          <w:color w:val="000000" w:themeColor="text1"/>
        </w:rPr>
        <w:t xml:space="preserve"> 1000-1500 mg/m</w:t>
      </w:r>
      <w:r w:rsidRPr="00122BD4">
        <w:rPr>
          <w:color w:val="000000" w:themeColor="text1"/>
          <w:vertAlign w:val="superscript"/>
        </w:rPr>
        <w:t>2</w:t>
      </w:r>
      <w:r w:rsidR="00122BD4">
        <w:rPr>
          <w:color w:val="000000" w:themeColor="text1"/>
          <w:vertAlign w:val="superscript"/>
        </w:rPr>
        <w:t xml:space="preserve"> </w:t>
      </w:r>
      <w:r w:rsidR="00122BD4">
        <w:rPr>
          <w:color w:val="000000" w:themeColor="text1"/>
        </w:rPr>
        <w:t>x 2 (</w:t>
      </w:r>
      <w:r w:rsidR="00B711F1">
        <w:rPr>
          <w:color w:val="000000" w:themeColor="text1"/>
        </w:rPr>
        <w:t>1,</w:t>
      </w:r>
      <w:r w:rsidR="00122BD4">
        <w:rPr>
          <w:color w:val="000000" w:themeColor="text1"/>
        </w:rPr>
        <w:t>3</w:t>
      </w:r>
      <w:r w:rsidR="00B711F1">
        <w:rPr>
          <w:color w:val="000000" w:themeColor="text1"/>
        </w:rPr>
        <w:t>,5.</w:t>
      </w:r>
      <w:r w:rsidR="00122BD4">
        <w:rPr>
          <w:color w:val="000000" w:themeColor="text1"/>
        </w:rPr>
        <w:t xml:space="preserve"> gün</w:t>
      </w:r>
      <w:r w:rsidR="00B711F1">
        <w:rPr>
          <w:color w:val="000000" w:themeColor="text1"/>
        </w:rPr>
        <w:t>ler</w:t>
      </w:r>
      <w:r w:rsidR="00122BD4">
        <w:rPr>
          <w:color w:val="000000" w:themeColor="text1"/>
        </w:rPr>
        <w:t xml:space="preserve">) Ara-C (TR elde edildikten sonra </w:t>
      </w:r>
      <w:r w:rsidR="008C4B0A">
        <w:rPr>
          <w:color w:val="000000" w:themeColor="text1"/>
        </w:rPr>
        <w:t>3 kür, tek indüksiyon verilecekse 3 kür yüksek doz, 2 indüksiyon verilecek ise 2 kür yüksek doz Ara-C yeterli olacaktır).</w:t>
      </w:r>
    </w:p>
    <w:p w14:paraId="52CE752F" w14:textId="50373A86" w:rsidR="00EE24CD" w:rsidRDefault="00CD649B" w:rsidP="00EE24CD">
      <w:pPr>
        <w:pStyle w:val="ListeParagraf"/>
        <w:rPr>
          <w:b/>
          <w:color w:val="000000" w:themeColor="text1"/>
        </w:rPr>
      </w:pPr>
      <w:r>
        <w:rPr>
          <w:b/>
          <w:color w:val="000000" w:themeColor="text1"/>
        </w:rPr>
        <w:t xml:space="preserve">                                       </w:t>
      </w:r>
      <w:r w:rsidR="00EE24CD">
        <w:rPr>
          <w:b/>
          <w:color w:val="000000" w:themeColor="text1"/>
        </w:rPr>
        <w:t xml:space="preserve">Veya </w:t>
      </w:r>
    </w:p>
    <w:p w14:paraId="2233DF5F" w14:textId="77777777" w:rsidR="00CD649B" w:rsidRDefault="00CD649B" w:rsidP="00CD649B">
      <w:pPr>
        <w:pStyle w:val="ListeParagraf"/>
        <w:rPr>
          <w:color w:val="000000" w:themeColor="text1"/>
        </w:rPr>
      </w:pPr>
      <w:r w:rsidRPr="00CD649B">
        <w:rPr>
          <w:color w:val="000000" w:themeColor="text1"/>
        </w:rPr>
        <w:t>3000 mg/m</w:t>
      </w:r>
      <w:r w:rsidRPr="00CD649B">
        <w:rPr>
          <w:color w:val="000000" w:themeColor="text1"/>
          <w:vertAlign w:val="superscript"/>
        </w:rPr>
        <w:t>2</w:t>
      </w:r>
      <w:r w:rsidRPr="00CD649B">
        <w:rPr>
          <w:color w:val="000000" w:themeColor="text1"/>
        </w:rPr>
        <w:t xml:space="preserve"> x 2 (1,3,5. Günler) </w:t>
      </w:r>
      <w:r>
        <w:rPr>
          <w:color w:val="000000" w:themeColor="text1"/>
        </w:rPr>
        <w:t>Ara-C (TR elde edildikten sonra 3 kür, tek indüksiyon verilecekse 3 kür yüksek doz, 2 indüksiyon verilecek ise 2 kür yüksek doz Ara-C yeterli olacaktır).</w:t>
      </w:r>
    </w:p>
    <w:p w14:paraId="4B362C3E" w14:textId="77777777" w:rsidR="00CC30D7" w:rsidRDefault="00CC30D7" w:rsidP="00CD649B">
      <w:pPr>
        <w:pStyle w:val="ListeParagraf"/>
        <w:rPr>
          <w:color w:val="000000" w:themeColor="text1"/>
        </w:rPr>
      </w:pPr>
    </w:p>
    <w:p w14:paraId="71CCFE31" w14:textId="1C6251D7" w:rsidR="00CD649B" w:rsidRDefault="00CD649B" w:rsidP="00CD649B">
      <w:pPr>
        <w:pStyle w:val="ListeParagraf"/>
        <w:numPr>
          <w:ilvl w:val="0"/>
          <w:numId w:val="10"/>
        </w:numPr>
        <w:rPr>
          <w:b/>
          <w:color w:val="000000" w:themeColor="text1"/>
        </w:rPr>
      </w:pPr>
      <w:r w:rsidRPr="00CD649B">
        <w:rPr>
          <w:b/>
          <w:color w:val="000000" w:themeColor="text1"/>
        </w:rPr>
        <w:t xml:space="preserve">Orta risk hasta grubu: </w:t>
      </w:r>
      <w:r w:rsidR="00C41ED6" w:rsidRPr="007719B7">
        <w:rPr>
          <w:color w:val="000000" w:themeColor="text1"/>
        </w:rPr>
        <w:t>Yukarıdaki kemoterapi ile konsolide edilebilir</w:t>
      </w:r>
      <w:r w:rsidR="00C41ED6">
        <w:rPr>
          <w:b/>
          <w:color w:val="000000" w:themeColor="text1"/>
        </w:rPr>
        <w:t>.</w:t>
      </w:r>
    </w:p>
    <w:p w14:paraId="26656F0F" w14:textId="4E0B8045" w:rsidR="00C41ED6" w:rsidRDefault="00C41ED6" w:rsidP="00C41ED6">
      <w:pPr>
        <w:pStyle w:val="ListeParagraf"/>
        <w:rPr>
          <w:b/>
          <w:color w:val="000000" w:themeColor="text1"/>
        </w:rPr>
      </w:pPr>
      <w:r>
        <w:rPr>
          <w:b/>
          <w:color w:val="000000" w:themeColor="text1"/>
        </w:rPr>
        <w:t xml:space="preserve">                                       Veya</w:t>
      </w:r>
    </w:p>
    <w:p w14:paraId="75769178" w14:textId="1D5443A2" w:rsidR="00C41ED6" w:rsidRPr="007719B7" w:rsidRDefault="00C41ED6" w:rsidP="00C41ED6">
      <w:pPr>
        <w:pStyle w:val="ListeParagraf"/>
        <w:rPr>
          <w:color w:val="000000" w:themeColor="text1"/>
        </w:rPr>
      </w:pPr>
      <w:r w:rsidRPr="007719B7">
        <w:rPr>
          <w:color w:val="000000" w:themeColor="text1"/>
        </w:rPr>
        <w:t>Allojenik kök hücre nakli</w:t>
      </w:r>
      <w:r w:rsidR="007719B7" w:rsidRPr="007719B7">
        <w:rPr>
          <w:color w:val="000000" w:themeColor="text1"/>
        </w:rPr>
        <w:t xml:space="preserve"> uygulanabilir:</w:t>
      </w:r>
    </w:p>
    <w:p w14:paraId="3F0426E0" w14:textId="027DE77F" w:rsidR="007719B7" w:rsidRPr="007719B7" w:rsidRDefault="00BB1D35" w:rsidP="00C41ED6">
      <w:pPr>
        <w:pStyle w:val="ListeParagraf"/>
        <w:rPr>
          <w:color w:val="000000" w:themeColor="text1"/>
        </w:rPr>
      </w:pPr>
      <w:r>
        <w:rPr>
          <w:color w:val="000000" w:themeColor="text1"/>
        </w:rPr>
        <w:t xml:space="preserve">      *Transplantasyon mortalit</w:t>
      </w:r>
      <w:r w:rsidR="007719B7" w:rsidRPr="007719B7">
        <w:rPr>
          <w:color w:val="000000" w:themeColor="text1"/>
        </w:rPr>
        <w:t>e riski düşük-orta olan</w:t>
      </w:r>
    </w:p>
    <w:p w14:paraId="44B352AD" w14:textId="78D115E3" w:rsidR="007719B7" w:rsidRPr="007719B7" w:rsidRDefault="007719B7" w:rsidP="00C41ED6">
      <w:pPr>
        <w:pStyle w:val="ListeParagraf"/>
        <w:rPr>
          <w:color w:val="000000" w:themeColor="text1"/>
        </w:rPr>
      </w:pPr>
      <w:r w:rsidRPr="007719B7">
        <w:rPr>
          <w:color w:val="000000" w:themeColor="text1"/>
        </w:rPr>
        <w:t xml:space="preserve">      *HLA tam uyumlu akraba vericisi olan olgularda tercih edilebilir.</w:t>
      </w:r>
    </w:p>
    <w:p w14:paraId="3C49DDDC" w14:textId="0E8B5133" w:rsidR="007719B7" w:rsidRDefault="007719B7" w:rsidP="007719B7">
      <w:pPr>
        <w:rPr>
          <w:b/>
          <w:color w:val="000000" w:themeColor="text1"/>
        </w:rPr>
      </w:pPr>
      <w:r>
        <w:rPr>
          <w:b/>
          <w:color w:val="000000" w:themeColor="text1"/>
        </w:rPr>
        <w:t xml:space="preserve">                                                Veya </w:t>
      </w:r>
    </w:p>
    <w:p w14:paraId="037EBDD1" w14:textId="77777777" w:rsidR="007719B7" w:rsidRPr="007719B7" w:rsidRDefault="007719B7" w:rsidP="007719B7">
      <w:pPr>
        <w:rPr>
          <w:color w:val="000000" w:themeColor="text1"/>
        </w:rPr>
      </w:pPr>
      <w:r>
        <w:rPr>
          <w:b/>
          <w:color w:val="000000" w:themeColor="text1"/>
        </w:rPr>
        <w:t xml:space="preserve">             </w:t>
      </w:r>
      <w:r w:rsidRPr="007719B7">
        <w:rPr>
          <w:color w:val="000000" w:themeColor="text1"/>
        </w:rPr>
        <w:t xml:space="preserve">1 kür yüksek doz Ara-C ile konsolidasyon tedavisi sonrasında otolog kök hücre     </w:t>
      </w:r>
    </w:p>
    <w:p w14:paraId="6F3278F1" w14:textId="4A5C1FA0" w:rsidR="007345B6" w:rsidRDefault="007719B7" w:rsidP="007719B7">
      <w:pPr>
        <w:rPr>
          <w:color w:val="000000" w:themeColor="text1"/>
        </w:rPr>
      </w:pPr>
      <w:r w:rsidRPr="007719B7">
        <w:rPr>
          <w:color w:val="000000" w:themeColor="text1"/>
        </w:rPr>
        <w:t xml:space="preserve">             </w:t>
      </w:r>
      <w:r w:rsidR="00946592">
        <w:rPr>
          <w:color w:val="000000" w:themeColor="text1"/>
        </w:rPr>
        <w:t xml:space="preserve">nakli uygulanır (Literatürde iyi RFS sağlarken OS yararı gösterilememiş olmakla </w:t>
      </w:r>
      <w:r w:rsidR="007345B6">
        <w:rPr>
          <w:color w:val="000000" w:themeColor="text1"/>
        </w:rPr>
        <w:t xml:space="preserve"> </w:t>
      </w:r>
    </w:p>
    <w:p w14:paraId="258EBD5F" w14:textId="77777777" w:rsidR="007345B6" w:rsidRDefault="007345B6" w:rsidP="007719B7">
      <w:pPr>
        <w:rPr>
          <w:color w:val="000000" w:themeColor="text1"/>
        </w:rPr>
      </w:pPr>
      <w:r>
        <w:rPr>
          <w:color w:val="000000" w:themeColor="text1"/>
        </w:rPr>
        <w:t xml:space="preserve">             </w:t>
      </w:r>
      <w:r w:rsidR="00946592">
        <w:rPr>
          <w:color w:val="000000" w:themeColor="text1"/>
        </w:rPr>
        <w:t xml:space="preserve">birlikte uzun süre konsolidasyon tedavisi alamayacak durumda olan olgularda </w:t>
      </w:r>
      <w:r>
        <w:rPr>
          <w:color w:val="000000" w:themeColor="text1"/>
        </w:rPr>
        <w:t xml:space="preserve"> </w:t>
      </w:r>
    </w:p>
    <w:p w14:paraId="6FAB027C" w14:textId="0A4A59D5" w:rsidR="007719B7" w:rsidRDefault="007345B6" w:rsidP="007719B7">
      <w:pPr>
        <w:rPr>
          <w:color w:val="000000" w:themeColor="text1"/>
        </w:rPr>
      </w:pPr>
      <w:r>
        <w:rPr>
          <w:color w:val="000000" w:themeColor="text1"/>
        </w:rPr>
        <w:t xml:space="preserve">             merkezin uygulaması da göz önüne alınarak tercih edilebilir.)</w:t>
      </w:r>
    </w:p>
    <w:p w14:paraId="784C2EAC" w14:textId="77777777" w:rsidR="00CC30D7" w:rsidRDefault="00CC30D7" w:rsidP="007719B7">
      <w:pPr>
        <w:rPr>
          <w:color w:val="000000" w:themeColor="text1"/>
        </w:rPr>
      </w:pPr>
    </w:p>
    <w:p w14:paraId="7D1362B8" w14:textId="47D92546" w:rsidR="007719B7" w:rsidRPr="0096536A" w:rsidRDefault="006241E0" w:rsidP="007719B7">
      <w:pPr>
        <w:pStyle w:val="ListeParagraf"/>
        <w:numPr>
          <w:ilvl w:val="0"/>
          <w:numId w:val="10"/>
        </w:numPr>
        <w:rPr>
          <w:b/>
          <w:color w:val="000000" w:themeColor="text1"/>
        </w:rPr>
      </w:pPr>
      <w:r w:rsidRPr="006241E0">
        <w:rPr>
          <w:b/>
          <w:color w:val="000000" w:themeColor="text1"/>
        </w:rPr>
        <w:t>Kötü risk hasta grubu:</w:t>
      </w:r>
      <w:r>
        <w:rPr>
          <w:b/>
          <w:color w:val="000000" w:themeColor="text1"/>
        </w:rPr>
        <w:t xml:space="preserve"> </w:t>
      </w:r>
      <w:r w:rsidR="00946592">
        <w:rPr>
          <w:color w:val="000000" w:themeColor="text1"/>
        </w:rPr>
        <w:t xml:space="preserve">Akraba veya </w:t>
      </w:r>
      <w:r>
        <w:rPr>
          <w:color w:val="000000" w:themeColor="text1"/>
        </w:rPr>
        <w:t>a</w:t>
      </w:r>
      <w:r w:rsidR="00946592">
        <w:rPr>
          <w:color w:val="000000" w:themeColor="text1"/>
        </w:rPr>
        <w:t>k</w:t>
      </w:r>
      <w:r>
        <w:rPr>
          <w:color w:val="000000" w:themeColor="text1"/>
        </w:rPr>
        <w:t xml:space="preserve">raba dışı kök </w:t>
      </w:r>
      <w:r w:rsidR="0017041D">
        <w:rPr>
          <w:color w:val="000000" w:themeColor="text1"/>
        </w:rPr>
        <w:t xml:space="preserve">hücre nakli, uygun donör </w:t>
      </w:r>
      <w:r w:rsidR="00C91168">
        <w:rPr>
          <w:color w:val="000000" w:themeColor="text1"/>
        </w:rPr>
        <w:t xml:space="preserve"> </w:t>
      </w:r>
      <w:r w:rsidR="0017041D">
        <w:rPr>
          <w:color w:val="000000" w:themeColor="text1"/>
        </w:rPr>
        <w:t>bulunamadığında haploidentik nakiller</w:t>
      </w:r>
      <w:r w:rsidR="0096536A">
        <w:rPr>
          <w:color w:val="000000" w:themeColor="text1"/>
        </w:rPr>
        <w:t>e yönlendirilmeli.</w:t>
      </w:r>
    </w:p>
    <w:p w14:paraId="06EA1883" w14:textId="161E1888" w:rsidR="0096536A" w:rsidRPr="0096536A" w:rsidRDefault="0096536A" w:rsidP="0096536A">
      <w:pPr>
        <w:pStyle w:val="ListeParagraf"/>
        <w:rPr>
          <w:b/>
          <w:color w:val="000000" w:themeColor="text1"/>
        </w:rPr>
      </w:pPr>
      <w:r>
        <w:rPr>
          <w:b/>
          <w:color w:val="000000" w:themeColor="text1"/>
        </w:rPr>
        <w:t xml:space="preserve">                                       Veya </w:t>
      </w:r>
    </w:p>
    <w:p w14:paraId="56934D9D" w14:textId="0335F3DD" w:rsidR="0096536A" w:rsidRDefault="00C91168" w:rsidP="0096536A">
      <w:pPr>
        <w:pStyle w:val="ListeParagraf"/>
        <w:rPr>
          <w:color w:val="000000" w:themeColor="text1"/>
        </w:rPr>
      </w:pPr>
      <w:r>
        <w:rPr>
          <w:color w:val="000000" w:themeColor="text1"/>
        </w:rPr>
        <w:t xml:space="preserve"> </w:t>
      </w:r>
      <w:r w:rsidR="0096536A" w:rsidRPr="0096536A">
        <w:rPr>
          <w:color w:val="000000" w:themeColor="text1"/>
        </w:rPr>
        <w:t>Varsa çalışma protokollerine alınmalı.</w:t>
      </w:r>
    </w:p>
    <w:p w14:paraId="565348A8" w14:textId="77777777" w:rsidR="00146CBD" w:rsidRDefault="00146CBD" w:rsidP="0096536A">
      <w:pPr>
        <w:pStyle w:val="ListeParagraf"/>
        <w:rPr>
          <w:color w:val="000000" w:themeColor="text1"/>
        </w:rPr>
      </w:pPr>
    </w:p>
    <w:p w14:paraId="54173FCE" w14:textId="287B6D27" w:rsidR="00146CBD" w:rsidRDefault="00146CBD" w:rsidP="00146CBD">
      <w:pPr>
        <w:pStyle w:val="ListeParagraf"/>
        <w:numPr>
          <w:ilvl w:val="0"/>
          <w:numId w:val="10"/>
        </w:numPr>
        <w:rPr>
          <w:color w:val="000000" w:themeColor="text1"/>
        </w:rPr>
      </w:pPr>
      <w:r>
        <w:rPr>
          <w:color w:val="000000" w:themeColor="text1"/>
        </w:rPr>
        <w:lastRenderedPageBreak/>
        <w:t>İleri yaş indüksiyonda HMA almış olguların Kİ kontrolleri 3 kürden sonra yapılmalı yanıt alınmış ise progresyona dek 4-6 haftada bir uygulanmalı.</w:t>
      </w:r>
    </w:p>
    <w:p w14:paraId="52BCE08F" w14:textId="77777777" w:rsidR="00311EF1" w:rsidRDefault="00311EF1" w:rsidP="0096536A">
      <w:pPr>
        <w:pStyle w:val="ListeParagraf"/>
        <w:rPr>
          <w:color w:val="000000" w:themeColor="text1"/>
        </w:rPr>
      </w:pPr>
    </w:p>
    <w:p w14:paraId="2EB54522" w14:textId="77777777" w:rsidR="00146CBD" w:rsidRPr="00832761" w:rsidRDefault="00146CBD" w:rsidP="00832761">
      <w:pPr>
        <w:rPr>
          <w:b/>
          <w:color w:val="000000" w:themeColor="text1"/>
        </w:rPr>
      </w:pPr>
    </w:p>
    <w:p w14:paraId="31594655" w14:textId="53B14550" w:rsidR="00311EF1" w:rsidRDefault="00311EF1" w:rsidP="0096536A">
      <w:pPr>
        <w:pStyle w:val="ListeParagraf"/>
        <w:rPr>
          <w:b/>
          <w:color w:val="000000" w:themeColor="text1"/>
        </w:rPr>
      </w:pPr>
      <w:r w:rsidRPr="00311EF1">
        <w:rPr>
          <w:b/>
          <w:color w:val="000000" w:themeColor="text1"/>
        </w:rPr>
        <w:t>Lomber ponksiyon/ İntratekal tedavi</w:t>
      </w:r>
    </w:p>
    <w:p w14:paraId="32FFA744" w14:textId="77777777" w:rsidR="00311EF1" w:rsidRPr="00311EF1" w:rsidRDefault="00311EF1" w:rsidP="0096536A">
      <w:pPr>
        <w:pStyle w:val="ListeParagraf"/>
        <w:rPr>
          <w:b/>
          <w:color w:val="000000" w:themeColor="text1"/>
        </w:rPr>
      </w:pPr>
    </w:p>
    <w:p w14:paraId="48EBF655" w14:textId="272C4098" w:rsidR="00311EF1" w:rsidRDefault="00311EF1" w:rsidP="0096536A">
      <w:pPr>
        <w:pStyle w:val="ListeParagraf"/>
        <w:rPr>
          <w:color w:val="000000" w:themeColor="text1"/>
        </w:rPr>
      </w:pPr>
      <w:r>
        <w:rPr>
          <w:color w:val="000000" w:themeColor="text1"/>
        </w:rPr>
        <w:t>AML hastalarında standart LP önerilmez. Ancak miks fenotip akut lösemilerde, monositik farklılaş</w:t>
      </w:r>
      <w:r w:rsidR="00832761">
        <w:rPr>
          <w:color w:val="000000" w:themeColor="text1"/>
        </w:rPr>
        <w:t>ması olan lösemilerde ekstramedül</w:t>
      </w:r>
      <w:r>
        <w:rPr>
          <w:color w:val="000000" w:themeColor="text1"/>
        </w:rPr>
        <w:t xml:space="preserve">er hastalığı olanlarda, FLT3 pozitif olgularda konsolidasyon öncesi yapılması uygun olacaktır. </w:t>
      </w:r>
    </w:p>
    <w:p w14:paraId="5D57E9C5" w14:textId="77777777" w:rsidR="000927F3" w:rsidRDefault="000927F3" w:rsidP="0096536A">
      <w:pPr>
        <w:pStyle w:val="ListeParagraf"/>
        <w:rPr>
          <w:color w:val="000000" w:themeColor="text1"/>
        </w:rPr>
      </w:pPr>
    </w:p>
    <w:p w14:paraId="0A960632" w14:textId="77777777" w:rsidR="00403DA1" w:rsidRPr="00CD649B" w:rsidRDefault="00403DA1" w:rsidP="00403DA1">
      <w:pPr>
        <w:rPr>
          <w:color w:val="000000" w:themeColor="text1"/>
          <w:sz w:val="28"/>
          <w:szCs w:val="28"/>
        </w:rPr>
      </w:pPr>
    </w:p>
    <w:p w14:paraId="38785A52" w14:textId="7EE9C447" w:rsidR="00403DA1" w:rsidRPr="00180E9E" w:rsidRDefault="009E07A9" w:rsidP="00403DA1">
      <w:pPr>
        <w:rPr>
          <w:b/>
          <w:color w:val="FF0000"/>
          <w:sz w:val="28"/>
          <w:szCs w:val="28"/>
        </w:rPr>
      </w:pPr>
      <w:r w:rsidRPr="00180E9E">
        <w:rPr>
          <w:b/>
          <w:color w:val="FF0000"/>
          <w:sz w:val="28"/>
          <w:szCs w:val="28"/>
        </w:rPr>
        <w:t>Öneri:</w:t>
      </w:r>
    </w:p>
    <w:p w14:paraId="219F7F77" w14:textId="38AB7F10" w:rsidR="009E07A9" w:rsidRPr="00146CBD" w:rsidRDefault="00CD4D23" w:rsidP="009E07A9">
      <w:pPr>
        <w:pStyle w:val="ListeParagraf"/>
        <w:numPr>
          <w:ilvl w:val="0"/>
          <w:numId w:val="16"/>
        </w:numPr>
        <w:rPr>
          <w:color w:val="000000" w:themeColor="text1"/>
        </w:rPr>
      </w:pPr>
      <w:r w:rsidRPr="00146CBD">
        <w:rPr>
          <w:color w:val="000000" w:themeColor="text1"/>
        </w:rPr>
        <w:t xml:space="preserve">FLT3 pozitif </w:t>
      </w:r>
      <w:r w:rsidR="009E07A9" w:rsidRPr="00146CBD">
        <w:rPr>
          <w:color w:val="000000" w:themeColor="text1"/>
        </w:rPr>
        <w:t xml:space="preserve">AML’de </w:t>
      </w:r>
      <w:r w:rsidRPr="00146CBD">
        <w:rPr>
          <w:color w:val="000000" w:themeColor="text1"/>
        </w:rPr>
        <w:t>oral Midastaurin</w:t>
      </w:r>
      <w:r w:rsidR="000B6F3C" w:rsidRPr="00146CBD">
        <w:rPr>
          <w:color w:val="000000" w:themeColor="text1"/>
        </w:rPr>
        <w:t xml:space="preserve"> konsolidasyon tedavisinde </w:t>
      </w:r>
      <w:r w:rsidR="00180E9E" w:rsidRPr="00146CBD">
        <w:rPr>
          <w:color w:val="000000" w:themeColor="text1"/>
        </w:rPr>
        <w:t>orta-yüksek doz Ara-C tedavisinin 8-21. Günlerinde 2x50 mg olarak eklenebilir.</w:t>
      </w:r>
      <w:r w:rsidRPr="00146CBD">
        <w:rPr>
          <w:color w:val="000000" w:themeColor="text1"/>
        </w:rPr>
        <w:t xml:space="preserve"> </w:t>
      </w:r>
    </w:p>
    <w:p w14:paraId="2DC2CEAB" w14:textId="34A5C3BF" w:rsidR="00A83F68" w:rsidRDefault="00146CBD" w:rsidP="009E07A9">
      <w:pPr>
        <w:pStyle w:val="ListeParagraf"/>
        <w:numPr>
          <w:ilvl w:val="0"/>
          <w:numId w:val="16"/>
        </w:numPr>
        <w:rPr>
          <w:color w:val="000000" w:themeColor="text1"/>
        </w:rPr>
      </w:pPr>
      <w:r w:rsidRPr="00146CBD">
        <w:rPr>
          <w:color w:val="000000" w:themeColor="text1"/>
        </w:rPr>
        <w:t>60 yaş üstü indikasyon dışı onam ile indüksiyonda GO almış olgularda konsolidasyonda yanıt var ise 2 mg/m2 her 4 haftada bir 1. Gün uygulanabilir. 8 kür olarak uygulanır.</w:t>
      </w:r>
    </w:p>
    <w:p w14:paraId="07FAC0D9" w14:textId="27C56A96" w:rsidR="00832761" w:rsidRPr="00CC30D7" w:rsidRDefault="00832761" w:rsidP="008A7C78">
      <w:pPr>
        <w:tabs>
          <w:tab w:val="left" w:pos="220"/>
          <w:tab w:val="left" w:pos="720"/>
        </w:tabs>
        <w:autoSpaceDE w:val="0"/>
        <w:autoSpaceDN w:val="0"/>
        <w:adjustRightInd w:val="0"/>
        <w:spacing w:after="213" w:line="260" w:lineRule="atLeast"/>
        <w:ind w:left="1080"/>
        <w:rPr>
          <w:color w:val="000000"/>
          <w:lang w:eastAsia="en-US"/>
        </w:rPr>
      </w:pPr>
      <w:r w:rsidRPr="00CC30D7">
        <w:rPr>
          <w:rFonts w:ascii="MS Mincho" w:eastAsia="MS Mincho" w:hAnsi="MS Mincho" w:cs="MS Mincho" w:hint="eastAsia"/>
          <w:color w:val="000000"/>
          <w:lang w:eastAsia="en-US"/>
        </w:rPr>
        <w:t> </w:t>
      </w:r>
    </w:p>
    <w:p w14:paraId="20EF6F64" w14:textId="0CD3B27C" w:rsidR="00832761" w:rsidRPr="00EB7A40" w:rsidRDefault="00EB7A40" w:rsidP="00832761">
      <w:pPr>
        <w:rPr>
          <w:b/>
          <w:color w:val="000000" w:themeColor="text1"/>
        </w:rPr>
      </w:pPr>
      <w:r w:rsidRPr="00EB7A40">
        <w:rPr>
          <w:b/>
          <w:color w:val="000000" w:themeColor="text1"/>
        </w:rPr>
        <w:t>Tedavi Sonrası İzlem</w:t>
      </w:r>
    </w:p>
    <w:p w14:paraId="398C1979" w14:textId="07432A7A" w:rsidR="00180E9E" w:rsidRDefault="00EB7A40" w:rsidP="00EB7A40">
      <w:pPr>
        <w:pStyle w:val="ListeParagraf"/>
        <w:numPr>
          <w:ilvl w:val="0"/>
          <w:numId w:val="7"/>
        </w:numPr>
        <w:rPr>
          <w:rFonts w:ascii="Times New Roman" w:hAnsi="Times New Roman" w:cs="Times New Roman"/>
          <w:color w:val="000000" w:themeColor="text1"/>
        </w:rPr>
      </w:pPr>
      <w:r w:rsidRPr="00EB7A40">
        <w:rPr>
          <w:rFonts w:ascii="Times New Roman" w:hAnsi="Times New Roman" w:cs="Times New Roman"/>
          <w:color w:val="000000" w:themeColor="text1"/>
        </w:rPr>
        <w:t>İlk 2 yıl 1-3 ayda bir, daha sonra 5. Yıla kadar 3-6 ayda bir tam kan sayımı yapılır.</w:t>
      </w:r>
    </w:p>
    <w:p w14:paraId="18110D38" w14:textId="4A771BDC" w:rsidR="00EB7A40" w:rsidRPr="00EB7A40" w:rsidRDefault="00EB7A40" w:rsidP="00EB7A40">
      <w:pPr>
        <w:pStyle w:val="ListeParagraf"/>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Periferik yaymada  şüpheli hücre varlığında veya sitopeni geliştiğinde kemik iliği aspirasyon kontrolü yapılmalıdır.</w:t>
      </w:r>
    </w:p>
    <w:p w14:paraId="0218AA1F" w14:textId="77777777" w:rsidR="00EB7A40" w:rsidRPr="00EB7A40" w:rsidRDefault="00EB7A40" w:rsidP="00EB7A40">
      <w:pPr>
        <w:rPr>
          <w:color w:val="000000" w:themeColor="text1"/>
          <w:sz w:val="28"/>
          <w:szCs w:val="28"/>
        </w:rPr>
      </w:pPr>
    </w:p>
    <w:p w14:paraId="12EE9211" w14:textId="77777777" w:rsidR="00832761" w:rsidRDefault="00832761" w:rsidP="00832761">
      <w:pPr>
        <w:pStyle w:val="ListeParagraf"/>
        <w:ind w:left="1080"/>
        <w:rPr>
          <w:color w:val="000000" w:themeColor="text1"/>
        </w:rPr>
      </w:pPr>
    </w:p>
    <w:p w14:paraId="750145D9" w14:textId="75692276" w:rsidR="00621208" w:rsidRDefault="00982423" w:rsidP="00621208">
      <w:pPr>
        <w:rPr>
          <w:b/>
          <w:color w:val="000000" w:themeColor="text1"/>
          <w:sz w:val="28"/>
          <w:szCs w:val="28"/>
        </w:rPr>
      </w:pPr>
      <w:r>
        <w:rPr>
          <w:b/>
          <w:color w:val="000000" w:themeColor="text1"/>
          <w:sz w:val="28"/>
          <w:szCs w:val="28"/>
        </w:rPr>
        <w:t>Nüks AML ve Primer refrakter AML</w:t>
      </w:r>
      <w:r w:rsidR="00832761" w:rsidRPr="00832761">
        <w:rPr>
          <w:b/>
          <w:color w:val="000000" w:themeColor="text1"/>
          <w:sz w:val="28"/>
          <w:szCs w:val="28"/>
        </w:rPr>
        <w:t xml:space="preserve"> tedavisi</w:t>
      </w:r>
    </w:p>
    <w:p w14:paraId="65666380" w14:textId="580CE4E7" w:rsidR="00832761" w:rsidRDefault="001F7F8F" w:rsidP="00621208">
      <w:pPr>
        <w:rPr>
          <w:color w:val="000000" w:themeColor="text1"/>
        </w:rPr>
      </w:pPr>
      <w:r>
        <w:rPr>
          <w:color w:val="000000" w:themeColor="text1"/>
        </w:rPr>
        <w:t>İlk TR süresinin kısa olması, nüks anındaki ileri yaş, tanı anında kötü sitogenetik faktöre sahip olmak, allojenik nakil öyküsünün olması nüks anındaki prognozu belirler.</w:t>
      </w:r>
    </w:p>
    <w:p w14:paraId="01B652A8" w14:textId="77777777" w:rsidR="001F7F8F" w:rsidRPr="001F7F8F" w:rsidRDefault="001F7F8F" w:rsidP="00621208">
      <w:pPr>
        <w:rPr>
          <w:color w:val="000000" w:themeColor="text1"/>
        </w:rPr>
      </w:pPr>
    </w:p>
    <w:p w14:paraId="4CE18C5E" w14:textId="75132AA4" w:rsidR="00621208" w:rsidRDefault="00621208" w:rsidP="00621208">
      <w:pPr>
        <w:rPr>
          <w:color w:val="000000" w:themeColor="text1"/>
        </w:rPr>
      </w:pPr>
      <w:r>
        <w:rPr>
          <w:color w:val="000000" w:themeColor="text1"/>
        </w:rPr>
        <w:t xml:space="preserve">İndüksiyon tedavileri ile TR elde edilemeyen olgularda </w:t>
      </w:r>
      <w:r w:rsidR="00982423">
        <w:rPr>
          <w:color w:val="000000" w:themeColor="text1"/>
        </w:rPr>
        <w:t>(refrakter</w:t>
      </w:r>
      <w:r w:rsidR="001F7F8F">
        <w:rPr>
          <w:color w:val="000000" w:themeColor="text1"/>
        </w:rPr>
        <w:t>) kurtarma protokollerine geçilir.</w:t>
      </w:r>
    </w:p>
    <w:p w14:paraId="4D231453" w14:textId="77777777" w:rsidR="001F7F8F" w:rsidRDefault="001F7F8F" w:rsidP="00621208">
      <w:pPr>
        <w:rPr>
          <w:color w:val="000000" w:themeColor="text1"/>
        </w:rPr>
      </w:pPr>
    </w:p>
    <w:p w14:paraId="17F161A8" w14:textId="2004D776" w:rsidR="001F7F8F" w:rsidRDefault="001F7F8F" w:rsidP="00621208">
      <w:pPr>
        <w:rPr>
          <w:color w:val="000000" w:themeColor="text1"/>
        </w:rPr>
      </w:pPr>
      <w:r>
        <w:rPr>
          <w:color w:val="000000" w:themeColor="text1"/>
        </w:rPr>
        <w:t>Gerek nüks hastalıkta, gerekse refrakter hastalıkta standart bir kurtarma tedavisi yoktur.</w:t>
      </w:r>
      <w:r w:rsidR="003530F8">
        <w:rPr>
          <w:color w:val="000000" w:themeColor="text1"/>
        </w:rPr>
        <w:t xml:space="preserve"> Bu nedenle bu hastaların öncelikle var olan çalışmalara yönlendirilmesi uygundur. </w:t>
      </w:r>
    </w:p>
    <w:p w14:paraId="11A93583" w14:textId="77777777" w:rsidR="00982423" w:rsidRDefault="00982423" w:rsidP="00621208">
      <w:pPr>
        <w:rPr>
          <w:color w:val="000000" w:themeColor="text1"/>
        </w:rPr>
      </w:pPr>
    </w:p>
    <w:p w14:paraId="58D3C5AF" w14:textId="4F53A59D" w:rsidR="00982423" w:rsidRPr="00982423" w:rsidRDefault="00982423" w:rsidP="00621208">
      <w:pPr>
        <w:rPr>
          <w:b/>
          <w:color w:val="000000" w:themeColor="text1"/>
          <w:u w:val="single"/>
        </w:rPr>
      </w:pPr>
      <w:r w:rsidRPr="00982423">
        <w:rPr>
          <w:b/>
          <w:color w:val="000000" w:themeColor="text1"/>
          <w:u w:val="single"/>
        </w:rPr>
        <w:t xml:space="preserve">Kurtarma tedavileri: </w:t>
      </w:r>
    </w:p>
    <w:p w14:paraId="03D2D9C7" w14:textId="77777777" w:rsidR="00621208" w:rsidRDefault="00621208" w:rsidP="00621208">
      <w:pPr>
        <w:pStyle w:val="ListeParagraf"/>
        <w:numPr>
          <w:ilvl w:val="0"/>
          <w:numId w:val="23"/>
        </w:numPr>
        <w:rPr>
          <w:color w:val="000000" w:themeColor="text1"/>
        </w:rPr>
      </w:pPr>
      <w:r>
        <w:rPr>
          <w:color w:val="000000" w:themeColor="text1"/>
        </w:rPr>
        <w:t>IDA-FLAG</w:t>
      </w:r>
    </w:p>
    <w:p w14:paraId="45C1018A" w14:textId="77777777" w:rsidR="00621208" w:rsidRDefault="00621208" w:rsidP="00621208">
      <w:pPr>
        <w:pStyle w:val="ListeParagraf"/>
        <w:numPr>
          <w:ilvl w:val="0"/>
          <w:numId w:val="23"/>
        </w:numPr>
        <w:rPr>
          <w:color w:val="000000" w:themeColor="text1"/>
        </w:rPr>
      </w:pPr>
      <w:r>
        <w:rPr>
          <w:color w:val="000000" w:themeColor="text1"/>
        </w:rPr>
        <w:t xml:space="preserve">MEC (mitoksantron/ etoposid/ sitarabin) </w:t>
      </w:r>
    </w:p>
    <w:p w14:paraId="1864F60F" w14:textId="77777777" w:rsidR="00621208" w:rsidRDefault="00621208" w:rsidP="00621208">
      <w:pPr>
        <w:pStyle w:val="ListeParagraf"/>
        <w:numPr>
          <w:ilvl w:val="0"/>
          <w:numId w:val="23"/>
        </w:numPr>
        <w:rPr>
          <w:color w:val="000000" w:themeColor="text1"/>
        </w:rPr>
      </w:pPr>
      <w:r>
        <w:rPr>
          <w:color w:val="000000" w:themeColor="text1"/>
        </w:rPr>
        <w:t>Kloforabin + Sitarabin</w:t>
      </w:r>
    </w:p>
    <w:p w14:paraId="7E57297B" w14:textId="5D84C217" w:rsidR="009E28FF" w:rsidRDefault="009E28FF" w:rsidP="00621208">
      <w:pPr>
        <w:pStyle w:val="ListeParagraf"/>
        <w:numPr>
          <w:ilvl w:val="0"/>
          <w:numId w:val="23"/>
        </w:numPr>
        <w:rPr>
          <w:color w:val="000000" w:themeColor="text1"/>
        </w:rPr>
      </w:pPr>
      <w:r>
        <w:rPr>
          <w:color w:val="000000" w:themeColor="text1"/>
        </w:rPr>
        <w:t>FLAMSA (fludarabin, sitarabin, amsacrin)</w:t>
      </w:r>
    </w:p>
    <w:p w14:paraId="744058A4" w14:textId="77777777" w:rsidR="00621208" w:rsidRDefault="00621208" w:rsidP="00621208">
      <w:pPr>
        <w:pStyle w:val="ListeParagraf"/>
        <w:rPr>
          <w:color w:val="000000" w:themeColor="text1"/>
        </w:rPr>
      </w:pPr>
    </w:p>
    <w:p w14:paraId="63957872" w14:textId="77777777" w:rsidR="00621208" w:rsidRDefault="00621208" w:rsidP="00621208">
      <w:pPr>
        <w:pStyle w:val="ListeParagraf"/>
        <w:rPr>
          <w:color w:val="000000" w:themeColor="text1"/>
        </w:rPr>
      </w:pPr>
      <w:r>
        <w:rPr>
          <w:color w:val="000000" w:themeColor="text1"/>
        </w:rPr>
        <w:t>Kurtarma tedavisi ile TR elde edilenler allojenik kök hücre nakline yönlendirilir.</w:t>
      </w:r>
    </w:p>
    <w:p w14:paraId="783AAAC4" w14:textId="77777777" w:rsidR="00621208" w:rsidRDefault="00621208" w:rsidP="00621208">
      <w:pPr>
        <w:pStyle w:val="ListeParagraf"/>
        <w:rPr>
          <w:color w:val="000000" w:themeColor="text1"/>
        </w:rPr>
      </w:pPr>
      <w:r>
        <w:rPr>
          <w:color w:val="000000" w:themeColor="text1"/>
        </w:rPr>
        <w:t xml:space="preserve">NOT: Hastanın tanı anından itibaren uygun akraba donör taraması yapılmaya başlanmalıdır. </w:t>
      </w:r>
    </w:p>
    <w:p w14:paraId="005F845B" w14:textId="77777777" w:rsidR="00982423" w:rsidRDefault="00982423" w:rsidP="00621208">
      <w:pPr>
        <w:pStyle w:val="ListeParagraf"/>
        <w:rPr>
          <w:color w:val="000000" w:themeColor="text1"/>
        </w:rPr>
      </w:pPr>
    </w:p>
    <w:p w14:paraId="7301EA4B" w14:textId="6AF94019" w:rsidR="00982423" w:rsidRPr="00982423" w:rsidRDefault="00982423" w:rsidP="00982423">
      <w:pPr>
        <w:rPr>
          <w:b/>
          <w:color w:val="000000" w:themeColor="text1"/>
          <w:sz w:val="28"/>
          <w:szCs w:val="28"/>
        </w:rPr>
      </w:pPr>
      <w:r w:rsidRPr="00982423">
        <w:rPr>
          <w:b/>
          <w:color w:val="000000" w:themeColor="text1"/>
          <w:sz w:val="28"/>
          <w:szCs w:val="28"/>
        </w:rPr>
        <w:t>&lt;60/65 yaş, Erken Nüks  (&lt;12 ay)</w:t>
      </w:r>
    </w:p>
    <w:p w14:paraId="771D001B" w14:textId="13251BD3" w:rsidR="00982423" w:rsidRDefault="00982423" w:rsidP="00982423">
      <w:pPr>
        <w:pStyle w:val="ListeParagraf"/>
        <w:numPr>
          <w:ilvl w:val="0"/>
          <w:numId w:val="40"/>
        </w:numPr>
        <w:rPr>
          <w:color w:val="000000" w:themeColor="text1"/>
        </w:rPr>
      </w:pPr>
      <w:r>
        <w:rPr>
          <w:color w:val="000000" w:themeColor="text1"/>
        </w:rPr>
        <w:t>Yukarıdaki kurtarma tedavilerinden merkezin alışık olduğu protokol seçilerek, remisyon sonrası hasta allojenik kök hücre nakline yönlendirilir.</w:t>
      </w:r>
    </w:p>
    <w:p w14:paraId="143367E3" w14:textId="6F417601" w:rsidR="00982423" w:rsidRDefault="00982423" w:rsidP="00982423">
      <w:pPr>
        <w:pStyle w:val="ListeParagraf"/>
        <w:numPr>
          <w:ilvl w:val="0"/>
          <w:numId w:val="40"/>
        </w:numPr>
        <w:rPr>
          <w:color w:val="000000" w:themeColor="text1"/>
        </w:rPr>
      </w:pPr>
      <w:r>
        <w:rPr>
          <w:color w:val="000000" w:themeColor="text1"/>
        </w:rPr>
        <w:lastRenderedPageBreak/>
        <w:t>Var ise klinik çalışmaya dahil edilebilir.</w:t>
      </w:r>
    </w:p>
    <w:p w14:paraId="3D58F31C" w14:textId="77777777" w:rsidR="00982423" w:rsidRDefault="00982423" w:rsidP="00982423">
      <w:pPr>
        <w:rPr>
          <w:color w:val="000000" w:themeColor="text1"/>
        </w:rPr>
      </w:pPr>
    </w:p>
    <w:p w14:paraId="0231E090" w14:textId="6CEF4F65" w:rsidR="00982423" w:rsidRPr="00982423" w:rsidRDefault="005C238E" w:rsidP="00982423">
      <w:pPr>
        <w:rPr>
          <w:b/>
          <w:color w:val="000000" w:themeColor="text1"/>
          <w:sz w:val="28"/>
          <w:szCs w:val="28"/>
        </w:rPr>
      </w:pPr>
      <w:r>
        <w:rPr>
          <w:b/>
          <w:color w:val="000000" w:themeColor="text1"/>
          <w:sz w:val="28"/>
          <w:szCs w:val="28"/>
        </w:rPr>
        <w:t>&lt;</w:t>
      </w:r>
      <w:r w:rsidR="00982423" w:rsidRPr="00982423">
        <w:rPr>
          <w:b/>
          <w:color w:val="000000" w:themeColor="text1"/>
          <w:sz w:val="28"/>
          <w:szCs w:val="28"/>
        </w:rPr>
        <w:t>60/65 yaş, Geç nüks (&gt;12 ay)</w:t>
      </w:r>
    </w:p>
    <w:p w14:paraId="44838256" w14:textId="0E604A52" w:rsidR="00982423" w:rsidRDefault="00982423" w:rsidP="00982423">
      <w:pPr>
        <w:pStyle w:val="ListeParagraf"/>
        <w:numPr>
          <w:ilvl w:val="0"/>
          <w:numId w:val="41"/>
        </w:numPr>
        <w:rPr>
          <w:color w:val="000000" w:themeColor="text1"/>
        </w:rPr>
      </w:pPr>
      <w:r>
        <w:rPr>
          <w:color w:val="000000" w:themeColor="text1"/>
        </w:rPr>
        <w:t>İlk başarılı indüksiyon rejimi tekrar edilir veya</w:t>
      </w:r>
    </w:p>
    <w:p w14:paraId="1BBF20F6" w14:textId="32AE81DB" w:rsidR="00982423" w:rsidRDefault="00982423" w:rsidP="00982423">
      <w:pPr>
        <w:pStyle w:val="ListeParagraf"/>
        <w:numPr>
          <w:ilvl w:val="0"/>
          <w:numId w:val="41"/>
        </w:numPr>
        <w:rPr>
          <w:color w:val="000000" w:themeColor="text1"/>
        </w:rPr>
      </w:pPr>
      <w:r>
        <w:rPr>
          <w:color w:val="000000" w:themeColor="text1"/>
        </w:rPr>
        <w:t>Başka bir kurtarma tedavisi uygulanır.</w:t>
      </w:r>
    </w:p>
    <w:p w14:paraId="6BB880FB" w14:textId="388093A1" w:rsidR="00982423" w:rsidRDefault="00982423" w:rsidP="00982423">
      <w:pPr>
        <w:pStyle w:val="ListeParagraf"/>
        <w:numPr>
          <w:ilvl w:val="0"/>
          <w:numId w:val="41"/>
        </w:numPr>
        <w:rPr>
          <w:color w:val="000000" w:themeColor="text1"/>
        </w:rPr>
      </w:pPr>
      <w:r>
        <w:rPr>
          <w:color w:val="000000" w:themeColor="text1"/>
        </w:rPr>
        <w:t xml:space="preserve">Ardından allojenik kök hücre nakline yönlendirilir. </w:t>
      </w:r>
    </w:p>
    <w:p w14:paraId="6DDFA9C3" w14:textId="37AC4FA5" w:rsidR="00982423" w:rsidRDefault="00982423" w:rsidP="00982423">
      <w:pPr>
        <w:pStyle w:val="ListeParagraf"/>
        <w:numPr>
          <w:ilvl w:val="0"/>
          <w:numId w:val="41"/>
        </w:numPr>
        <w:rPr>
          <w:color w:val="000000" w:themeColor="text1"/>
        </w:rPr>
      </w:pPr>
      <w:r>
        <w:rPr>
          <w:color w:val="000000" w:themeColor="text1"/>
        </w:rPr>
        <w:t>Var ise klinik çalışmaya dahil edilebilir.</w:t>
      </w:r>
    </w:p>
    <w:p w14:paraId="33C5C350" w14:textId="77777777" w:rsidR="005C238E" w:rsidRDefault="005C238E" w:rsidP="005C238E">
      <w:pPr>
        <w:pStyle w:val="ListeParagraf"/>
        <w:rPr>
          <w:color w:val="000000" w:themeColor="text1"/>
        </w:rPr>
      </w:pPr>
    </w:p>
    <w:p w14:paraId="44E2A403" w14:textId="77777777" w:rsidR="005C238E" w:rsidRDefault="005C238E" w:rsidP="005C238E">
      <w:pPr>
        <w:pStyle w:val="ListeParagraf"/>
        <w:rPr>
          <w:color w:val="000000" w:themeColor="text1"/>
        </w:rPr>
      </w:pPr>
    </w:p>
    <w:p w14:paraId="45BAD9A9" w14:textId="25287730" w:rsidR="005C238E" w:rsidRDefault="005C238E" w:rsidP="005C238E">
      <w:pPr>
        <w:rPr>
          <w:b/>
          <w:color w:val="000000" w:themeColor="text1"/>
          <w:sz w:val="28"/>
          <w:szCs w:val="28"/>
        </w:rPr>
      </w:pPr>
      <w:r w:rsidRPr="00982423">
        <w:rPr>
          <w:b/>
          <w:color w:val="000000" w:themeColor="text1"/>
          <w:sz w:val="28"/>
          <w:szCs w:val="28"/>
        </w:rPr>
        <w:sym w:font="Symbol" w:char="F0B3"/>
      </w:r>
      <w:r>
        <w:rPr>
          <w:b/>
          <w:color w:val="000000" w:themeColor="text1"/>
          <w:sz w:val="28"/>
          <w:szCs w:val="28"/>
        </w:rPr>
        <w:t xml:space="preserve">60/65 yaş, Erken nüks </w:t>
      </w:r>
      <w:r w:rsidR="003410A7" w:rsidRPr="00982423">
        <w:rPr>
          <w:b/>
          <w:color w:val="000000" w:themeColor="text1"/>
          <w:sz w:val="28"/>
          <w:szCs w:val="28"/>
        </w:rPr>
        <w:t>(&lt;12 ay)</w:t>
      </w:r>
    </w:p>
    <w:p w14:paraId="43D19049" w14:textId="753CA2BB" w:rsidR="005C238E" w:rsidRDefault="005C238E" w:rsidP="005C238E">
      <w:pPr>
        <w:pStyle w:val="ListeParagraf"/>
        <w:numPr>
          <w:ilvl w:val="0"/>
          <w:numId w:val="42"/>
        </w:numPr>
        <w:rPr>
          <w:color w:val="000000" w:themeColor="text1"/>
        </w:rPr>
      </w:pPr>
      <w:r>
        <w:rPr>
          <w:color w:val="000000" w:themeColor="text1"/>
        </w:rPr>
        <w:t>Devam eden klinik çalışma protokolüne alınır veya</w:t>
      </w:r>
    </w:p>
    <w:p w14:paraId="561F03AA" w14:textId="6C115D4D" w:rsidR="005C238E" w:rsidRDefault="005C238E" w:rsidP="005C238E">
      <w:pPr>
        <w:pStyle w:val="ListeParagraf"/>
        <w:numPr>
          <w:ilvl w:val="0"/>
          <w:numId w:val="42"/>
        </w:numPr>
        <w:rPr>
          <w:color w:val="000000" w:themeColor="text1"/>
        </w:rPr>
      </w:pPr>
      <w:r>
        <w:rPr>
          <w:color w:val="000000" w:themeColor="text1"/>
        </w:rPr>
        <w:t>Destek tedavisi uygulanır.</w:t>
      </w:r>
    </w:p>
    <w:p w14:paraId="7EDC7F6C" w14:textId="0806F268" w:rsidR="005C238E" w:rsidRDefault="005C238E" w:rsidP="005C238E">
      <w:pPr>
        <w:pStyle w:val="ListeParagraf"/>
        <w:numPr>
          <w:ilvl w:val="0"/>
          <w:numId w:val="42"/>
        </w:numPr>
        <w:rPr>
          <w:color w:val="000000" w:themeColor="text1"/>
        </w:rPr>
      </w:pPr>
      <w:r>
        <w:rPr>
          <w:color w:val="000000" w:themeColor="text1"/>
        </w:rPr>
        <w:t>Hastanın performans durumu, komorbiditeleri göz önüne alınarak, kurtarma tedavisi ardından düşük yoğunluklu allojenik kök hücre nakli uygulanabilir.</w:t>
      </w:r>
    </w:p>
    <w:p w14:paraId="054821BC" w14:textId="77777777" w:rsidR="003410A7" w:rsidRDefault="003410A7" w:rsidP="003410A7">
      <w:pPr>
        <w:rPr>
          <w:color w:val="000000" w:themeColor="text1"/>
        </w:rPr>
      </w:pPr>
    </w:p>
    <w:p w14:paraId="2EE451D8" w14:textId="77777777" w:rsidR="003410A7" w:rsidRDefault="003410A7" w:rsidP="003410A7">
      <w:pPr>
        <w:rPr>
          <w:color w:val="000000" w:themeColor="text1"/>
        </w:rPr>
      </w:pPr>
    </w:p>
    <w:p w14:paraId="6A616673" w14:textId="77777777" w:rsidR="003410A7" w:rsidRDefault="003410A7" w:rsidP="003410A7">
      <w:pPr>
        <w:rPr>
          <w:color w:val="000000" w:themeColor="text1"/>
        </w:rPr>
      </w:pPr>
    </w:p>
    <w:p w14:paraId="35A442CA" w14:textId="77777777" w:rsidR="003410A7" w:rsidRPr="003410A7" w:rsidRDefault="003410A7" w:rsidP="003410A7">
      <w:pPr>
        <w:rPr>
          <w:color w:val="000000" w:themeColor="text1"/>
        </w:rPr>
      </w:pPr>
    </w:p>
    <w:p w14:paraId="426EFC3C" w14:textId="09261B06" w:rsidR="00982423" w:rsidRDefault="003410A7" w:rsidP="00982423">
      <w:pPr>
        <w:rPr>
          <w:b/>
          <w:color w:val="000000" w:themeColor="text1"/>
          <w:sz w:val="28"/>
          <w:szCs w:val="28"/>
        </w:rPr>
      </w:pPr>
      <w:r w:rsidRPr="00982423">
        <w:rPr>
          <w:b/>
          <w:color w:val="000000" w:themeColor="text1"/>
          <w:sz w:val="28"/>
          <w:szCs w:val="28"/>
        </w:rPr>
        <w:sym w:font="Symbol" w:char="F0B3"/>
      </w:r>
      <w:r>
        <w:rPr>
          <w:b/>
          <w:color w:val="000000" w:themeColor="text1"/>
          <w:sz w:val="28"/>
          <w:szCs w:val="28"/>
        </w:rPr>
        <w:t xml:space="preserve">60/65 yaş, Geç nüks </w:t>
      </w:r>
      <w:r w:rsidRPr="00982423">
        <w:rPr>
          <w:b/>
          <w:color w:val="000000" w:themeColor="text1"/>
          <w:sz w:val="28"/>
          <w:szCs w:val="28"/>
        </w:rPr>
        <w:t>(&gt;12 ay)</w:t>
      </w:r>
    </w:p>
    <w:p w14:paraId="6B6A1266" w14:textId="179DA9A6" w:rsidR="003410A7" w:rsidRDefault="003410A7" w:rsidP="003410A7">
      <w:pPr>
        <w:pStyle w:val="ListeParagraf"/>
        <w:numPr>
          <w:ilvl w:val="0"/>
          <w:numId w:val="43"/>
        </w:numPr>
        <w:rPr>
          <w:color w:val="000000" w:themeColor="text1"/>
        </w:rPr>
      </w:pPr>
      <w:r>
        <w:rPr>
          <w:color w:val="000000" w:themeColor="text1"/>
        </w:rPr>
        <w:t>Var olan klinik çalışmaya alınır veya</w:t>
      </w:r>
    </w:p>
    <w:p w14:paraId="734ACCBF" w14:textId="11F5B08F" w:rsidR="003410A7" w:rsidRDefault="003410A7" w:rsidP="003410A7">
      <w:pPr>
        <w:pStyle w:val="ListeParagraf"/>
        <w:numPr>
          <w:ilvl w:val="0"/>
          <w:numId w:val="43"/>
        </w:numPr>
        <w:rPr>
          <w:color w:val="000000" w:themeColor="text1"/>
        </w:rPr>
      </w:pPr>
      <w:r>
        <w:rPr>
          <w:color w:val="000000" w:themeColor="text1"/>
        </w:rPr>
        <w:t>İlk başarılı indüksiyon rejimi tekrar edilebilir veya</w:t>
      </w:r>
    </w:p>
    <w:p w14:paraId="1681F08B" w14:textId="5320E134" w:rsidR="003410A7" w:rsidRDefault="003410A7" w:rsidP="003410A7">
      <w:pPr>
        <w:pStyle w:val="ListeParagraf"/>
        <w:numPr>
          <w:ilvl w:val="0"/>
          <w:numId w:val="43"/>
        </w:numPr>
        <w:rPr>
          <w:color w:val="000000" w:themeColor="text1"/>
        </w:rPr>
      </w:pPr>
      <w:r>
        <w:rPr>
          <w:color w:val="000000" w:themeColor="text1"/>
        </w:rPr>
        <w:t>Başka bir kurtarma protokolü ardından düşük yoğunluklu allojenik kök hücre nakli uygulanabilir.</w:t>
      </w:r>
    </w:p>
    <w:p w14:paraId="198309EF" w14:textId="2F6C5764" w:rsidR="003410A7" w:rsidRPr="003410A7" w:rsidRDefault="003410A7" w:rsidP="003410A7">
      <w:pPr>
        <w:pStyle w:val="ListeParagraf"/>
        <w:numPr>
          <w:ilvl w:val="0"/>
          <w:numId w:val="43"/>
        </w:numPr>
        <w:rPr>
          <w:color w:val="000000" w:themeColor="text1"/>
        </w:rPr>
      </w:pPr>
      <w:r>
        <w:rPr>
          <w:color w:val="000000" w:themeColor="text1"/>
        </w:rPr>
        <w:t xml:space="preserve">Destek tedavisi verilebilir. </w:t>
      </w:r>
    </w:p>
    <w:p w14:paraId="2711A525" w14:textId="77777777" w:rsidR="00982423" w:rsidRPr="00982423" w:rsidRDefault="00982423" w:rsidP="00621208">
      <w:pPr>
        <w:pStyle w:val="ListeParagraf"/>
        <w:rPr>
          <w:b/>
          <w:color w:val="000000" w:themeColor="text1"/>
        </w:rPr>
      </w:pPr>
    </w:p>
    <w:p w14:paraId="5C931CDE" w14:textId="77777777" w:rsidR="00982423" w:rsidRDefault="00982423" w:rsidP="00621208">
      <w:pPr>
        <w:pStyle w:val="ListeParagraf"/>
        <w:rPr>
          <w:color w:val="000000" w:themeColor="text1"/>
        </w:rPr>
      </w:pPr>
    </w:p>
    <w:p w14:paraId="0666E236" w14:textId="77777777" w:rsidR="00982423" w:rsidRPr="00146CBD" w:rsidRDefault="00982423" w:rsidP="00982423">
      <w:pPr>
        <w:rPr>
          <w:b/>
          <w:color w:val="000000" w:themeColor="text1"/>
          <w:sz w:val="28"/>
          <w:szCs w:val="28"/>
        </w:rPr>
      </w:pPr>
      <w:r w:rsidRPr="00146CBD">
        <w:rPr>
          <w:b/>
          <w:color w:val="000000" w:themeColor="text1"/>
          <w:sz w:val="28"/>
          <w:szCs w:val="28"/>
        </w:rPr>
        <w:t>ALLO sonrası nüks olgularda:</w:t>
      </w:r>
    </w:p>
    <w:p w14:paraId="3400DA14" w14:textId="77777777" w:rsidR="00982423" w:rsidRPr="00146CBD" w:rsidRDefault="00982423" w:rsidP="00982423">
      <w:pPr>
        <w:rPr>
          <w:b/>
          <w:color w:val="000000" w:themeColor="text1"/>
          <w:sz w:val="28"/>
          <w:szCs w:val="28"/>
        </w:rPr>
      </w:pPr>
    </w:p>
    <w:p w14:paraId="45CB9E10" w14:textId="77777777" w:rsidR="002A79B1" w:rsidRDefault="002A79B1" w:rsidP="00982423">
      <w:pPr>
        <w:pStyle w:val="ListeParagraf"/>
        <w:numPr>
          <w:ilvl w:val="0"/>
          <w:numId w:val="22"/>
        </w:numPr>
        <w:rPr>
          <w:color w:val="000000" w:themeColor="text1"/>
        </w:rPr>
      </w:pPr>
      <w:r>
        <w:rPr>
          <w:color w:val="000000" w:themeColor="text1"/>
        </w:rPr>
        <w:t>Var olan klinik çalışmaya hastanın dahil edilmesi öncelikle önerilir.</w:t>
      </w:r>
    </w:p>
    <w:p w14:paraId="662456CA" w14:textId="73664A72" w:rsidR="00982423" w:rsidRPr="002A79B1" w:rsidRDefault="00982423" w:rsidP="002A79B1">
      <w:pPr>
        <w:pStyle w:val="ListeParagraf"/>
        <w:numPr>
          <w:ilvl w:val="0"/>
          <w:numId w:val="22"/>
        </w:numPr>
        <w:rPr>
          <w:color w:val="000000" w:themeColor="text1"/>
        </w:rPr>
      </w:pPr>
      <w:r>
        <w:rPr>
          <w:color w:val="000000" w:themeColor="text1"/>
        </w:rPr>
        <w:t>Re-indüksiyon tedavisi</w:t>
      </w:r>
      <w:r w:rsidR="002A79B1">
        <w:rPr>
          <w:color w:val="000000" w:themeColor="text1"/>
        </w:rPr>
        <w:t xml:space="preserve"> </w:t>
      </w:r>
    </w:p>
    <w:p w14:paraId="1B226744" w14:textId="77777777" w:rsidR="00982423" w:rsidRDefault="00982423" w:rsidP="00982423">
      <w:pPr>
        <w:pStyle w:val="ListeParagraf"/>
        <w:numPr>
          <w:ilvl w:val="0"/>
          <w:numId w:val="22"/>
        </w:numPr>
        <w:rPr>
          <w:color w:val="000000" w:themeColor="text1"/>
        </w:rPr>
      </w:pPr>
      <w:r>
        <w:rPr>
          <w:color w:val="000000" w:themeColor="text1"/>
        </w:rPr>
        <w:t>Destek tedavisi</w:t>
      </w:r>
    </w:p>
    <w:p w14:paraId="11E0540D" w14:textId="77777777" w:rsidR="00982423" w:rsidRDefault="00982423" w:rsidP="00982423">
      <w:pPr>
        <w:pStyle w:val="ListeParagraf"/>
        <w:ind w:left="1080"/>
        <w:rPr>
          <w:color w:val="000000" w:themeColor="text1"/>
        </w:rPr>
      </w:pPr>
    </w:p>
    <w:p w14:paraId="12C7647E" w14:textId="77777777" w:rsidR="00982423" w:rsidRDefault="00982423" w:rsidP="00621208">
      <w:pPr>
        <w:pStyle w:val="ListeParagraf"/>
        <w:rPr>
          <w:color w:val="000000" w:themeColor="text1"/>
        </w:rPr>
      </w:pPr>
    </w:p>
    <w:p w14:paraId="74CA8A61" w14:textId="77777777" w:rsidR="003530F8" w:rsidRDefault="003530F8" w:rsidP="00621208">
      <w:pPr>
        <w:pStyle w:val="ListeParagraf"/>
        <w:rPr>
          <w:color w:val="000000" w:themeColor="text1"/>
        </w:rPr>
      </w:pPr>
    </w:p>
    <w:p w14:paraId="219490B7" w14:textId="77777777" w:rsidR="004173E2" w:rsidRDefault="004173E2"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76FB6233"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24F33F42"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22CE7CDA"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669881AC"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03B39275"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1B06465B"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5AC5DF35" w14:textId="77777777" w:rsidR="00336BE0" w:rsidRDefault="00336BE0" w:rsidP="004173E2">
      <w:pPr>
        <w:tabs>
          <w:tab w:val="left" w:pos="220"/>
          <w:tab w:val="left" w:pos="720"/>
        </w:tabs>
        <w:autoSpaceDE w:val="0"/>
        <w:autoSpaceDN w:val="0"/>
        <w:adjustRightInd w:val="0"/>
        <w:spacing w:after="213" w:line="260" w:lineRule="atLeast"/>
        <w:rPr>
          <w:rFonts w:ascii="Helvetica" w:hAnsi="Helvetica" w:cs="Helvetica"/>
          <w:color w:val="000000"/>
          <w:sz w:val="21"/>
          <w:szCs w:val="21"/>
          <w:lang w:eastAsia="en-US"/>
        </w:rPr>
      </w:pPr>
    </w:p>
    <w:p w14:paraId="53D93211" w14:textId="77777777" w:rsidR="00180E9E" w:rsidRPr="00180E9E" w:rsidRDefault="00180E9E" w:rsidP="00180E9E">
      <w:pPr>
        <w:rPr>
          <w:color w:val="000000" w:themeColor="text1"/>
          <w:sz w:val="28"/>
          <w:szCs w:val="28"/>
        </w:rPr>
      </w:pPr>
    </w:p>
    <w:p w14:paraId="7C2DD16E" w14:textId="443651B9" w:rsidR="00403DA1" w:rsidRDefault="00121063" w:rsidP="00403DA1">
      <w:pPr>
        <w:rPr>
          <w:b/>
          <w:color w:val="000000" w:themeColor="text1"/>
          <w:sz w:val="28"/>
          <w:szCs w:val="28"/>
        </w:rPr>
      </w:pPr>
      <w:r>
        <w:rPr>
          <w:b/>
          <w:color w:val="000000" w:themeColor="text1"/>
          <w:sz w:val="28"/>
          <w:szCs w:val="28"/>
        </w:rPr>
        <w:t>AKUT PROMİYELOSİTİK LÖSEMİ</w:t>
      </w:r>
      <w:r w:rsidR="008A7C78">
        <w:rPr>
          <w:b/>
          <w:color w:val="000000" w:themeColor="text1"/>
          <w:sz w:val="28"/>
          <w:szCs w:val="28"/>
        </w:rPr>
        <w:t xml:space="preserve"> (APL)</w:t>
      </w:r>
    </w:p>
    <w:p w14:paraId="44AF21A5" w14:textId="5A29C1DD" w:rsidR="008A7C78" w:rsidRDefault="008A7C78" w:rsidP="00403DA1">
      <w:pPr>
        <w:rPr>
          <w:color w:val="000000" w:themeColor="text1"/>
        </w:rPr>
      </w:pPr>
      <w:r>
        <w:rPr>
          <w:color w:val="000000" w:themeColor="text1"/>
        </w:rPr>
        <w:t>Tüm AML’lerin %10’unu oluşturan nadir bir alt gruptur. Patofizyolojik, klinik ve terapötik özellikleri diğer AML tiplerinden farklılık gösterir. Tüm AML’ler içinde en iyi prognoza sahip gruptur. Ancak, katastrofik kanama olayları (koagulopati, trombositopeni), farklılaşma (diferansi</w:t>
      </w:r>
      <w:r w:rsidR="00A71C26">
        <w:rPr>
          <w:color w:val="000000" w:themeColor="text1"/>
        </w:rPr>
        <w:t>y</w:t>
      </w:r>
      <w:r>
        <w:rPr>
          <w:color w:val="000000" w:themeColor="text1"/>
        </w:rPr>
        <w:t>asyon) sendromu, veya enfeksiyöz komplikasyonlar erken yüksek mortalite ile sonlanabilir (%20-%30). Olguların %80’inde, APL hücreleri pek çok Auer çubukları içeren hipergranüler hücrelerdir. Mikrogranüler varyant sıklıkla lökositoz ile birliktelik gösterir. APL hücreleri MPO ile güçlü boyanırlar, CD34 ve HLA-DR ifade etmezler.</w:t>
      </w:r>
    </w:p>
    <w:p w14:paraId="671614C0" w14:textId="77777777" w:rsidR="008A7C78" w:rsidRDefault="008A7C78" w:rsidP="008A7C78">
      <w:pPr>
        <w:rPr>
          <w:color w:val="000000" w:themeColor="text1"/>
        </w:rPr>
      </w:pPr>
      <w:r>
        <w:rPr>
          <w:color w:val="000000" w:themeColor="text1"/>
        </w:rPr>
        <w:t>Tanı için morfolojiye ek olarak sitogenetik ile t(15;17)’nin veya moleküler olarak PML/RARA’nın gösterilmesi gerekir. Sitogenetik veya moleküler olarak APL ile uyumlu olup morfoloji atipik olsa bile APL gibi tedavi edilmelidir.</w:t>
      </w:r>
    </w:p>
    <w:p w14:paraId="7D4BFC2C" w14:textId="77777777" w:rsidR="008A7C78" w:rsidRDefault="008A7C78" w:rsidP="00403DA1">
      <w:pPr>
        <w:rPr>
          <w:color w:val="000000" w:themeColor="text1"/>
        </w:rPr>
      </w:pPr>
    </w:p>
    <w:p w14:paraId="3E63559C" w14:textId="77777777" w:rsidR="008D6B3C" w:rsidRDefault="008D6B3C" w:rsidP="008D6B3C">
      <w:pPr>
        <w:rPr>
          <w:rFonts w:eastAsia="Times New Roman"/>
        </w:rPr>
      </w:pPr>
      <w:r>
        <w:rPr>
          <w:rFonts w:eastAsia="Times New Roman"/>
        </w:rPr>
        <w:t xml:space="preserve">APL şüphesi varsa tedaviye gecikmeksizin başlanılması önerilir. All-trans retinoik asit (ATRA) tedavisi 45mg/m²/gün (dozu ikiye bölerek) başlanır. </w:t>
      </w:r>
    </w:p>
    <w:p w14:paraId="115CE807" w14:textId="77777777" w:rsidR="008D6B3C" w:rsidRDefault="008D6B3C" w:rsidP="008D6B3C">
      <w:pPr>
        <w:rPr>
          <w:rFonts w:eastAsia="Times New Roman"/>
        </w:rPr>
      </w:pPr>
      <w:r>
        <w:rPr>
          <w:rFonts w:eastAsia="Times New Roman"/>
        </w:rPr>
        <w:t xml:space="preserve">Lökosit sayısı ≥ 10.000/mm3 ise yüksek risk, lökosit sayısı &lt; 10.000/mm3 ve trombosit sayısı &lt; 40.000/mm3 ise orta risk ve lökosit sayısı &lt; 10.000/mm3 ve trombosit sayısı ≥ 40.000/mm3 ise düşük risk olarak kabul edilmektedir. </w:t>
      </w:r>
    </w:p>
    <w:p w14:paraId="7EC749B3" w14:textId="343E15A8" w:rsidR="008D6B3C" w:rsidRDefault="008D6B3C" w:rsidP="008D6B3C">
      <w:pPr>
        <w:rPr>
          <w:rFonts w:eastAsia="Times New Roman"/>
        </w:rPr>
      </w:pPr>
      <w:r>
        <w:rPr>
          <w:rFonts w:eastAsia="Times New Roman"/>
        </w:rPr>
        <w:t>Antrasiklinlerin kullanılamadığı olgularda ATRA’ya ATO (0.15mg/ kg) eklenmesi önerilir. ATRA sendromu göz ardı edilmemelidir.</w:t>
      </w:r>
    </w:p>
    <w:p w14:paraId="4CD1A1F3" w14:textId="0216C7E3" w:rsidR="008D6B3C" w:rsidRDefault="008D6B3C" w:rsidP="008D6B3C">
      <w:pPr>
        <w:rPr>
          <w:rFonts w:eastAsia="Times New Roman"/>
        </w:rPr>
      </w:pPr>
      <w:r>
        <w:rPr>
          <w:rFonts w:eastAsia="Times New Roman"/>
        </w:rPr>
        <w:t>ATRA sendromunu önlemek için</w:t>
      </w:r>
      <w:r w:rsidR="0090543A">
        <w:rPr>
          <w:rFonts w:eastAsia="Times New Roman"/>
        </w:rPr>
        <w:t>,</w:t>
      </w:r>
      <w:r>
        <w:rPr>
          <w:rFonts w:eastAsia="Times New Roman"/>
        </w:rPr>
        <w:t xml:space="preserve"> ATRA antrasiklinden birkaç saat sonra başlanmalıdır.</w:t>
      </w:r>
    </w:p>
    <w:p w14:paraId="2B2C58B3" w14:textId="627C7E22" w:rsidR="008D6B3C" w:rsidRPr="00A71C26" w:rsidRDefault="00BE7799" w:rsidP="00403DA1">
      <w:pPr>
        <w:rPr>
          <w:b/>
          <w:color w:val="000000" w:themeColor="text1"/>
          <w:u w:val="single"/>
        </w:rPr>
      </w:pPr>
      <w:r w:rsidRPr="00A71C26">
        <w:rPr>
          <w:b/>
          <w:color w:val="000000" w:themeColor="text1"/>
          <w:u w:val="single"/>
        </w:rPr>
        <w:t>Destek Tedavisi:</w:t>
      </w:r>
    </w:p>
    <w:p w14:paraId="0354ACF9" w14:textId="0EAF9D48" w:rsidR="00BE7799" w:rsidRDefault="00D51C2E" w:rsidP="00D51C2E">
      <w:pPr>
        <w:pStyle w:val="ListeParagraf"/>
        <w:numPr>
          <w:ilvl w:val="0"/>
          <w:numId w:val="13"/>
        </w:numPr>
        <w:rPr>
          <w:color w:val="000000" w:themeColor="text1"/>
        </w:rPr>
      </w:pPr>
      <w:r w:rsidRPr="00D51C2E">
        <w:rPr>
          <w:color w:val="000000" w:themeColor="text1"/>
        </w:rPr>
        <w:t>Kanamaya eğilim nedeni ile trombosit sayısı &gt;30.000/mikroL olacak şekilde trombosit transfüzyonu ve fibrinojen&gt;1 g/dL olacak şekilde kriyopresipitat infüzyonu önerilir.</w:t>
      </w:r>
    </w:p>
    <w:p w14:paraId="115A5304" w14:textId="23C18BAC" w:rsidR="00A71C26" w:rsidRDefault="00A71C26" w:rsidP="00D51C2E">
      <w:pPr>
        <w:pStyle w:val="ListeParagraf"/>
        <w:numPr>
          <w:ilvl w:val="0"/>
          <w:numId w:val="13"/>
        </w:numPr>
        <w:rPr>
          <w:color w:val="000000" w:themeColor="text1"/>
        </w:rPr>
      </w:pPr>
      <w:r>
        <w:rPr>
          <w:color w:val="000000" w:themeColor="text1"/>
        </w:rPr>
        <w:t>Yakın hemogram ve koagulasyon takibi önerilir (yüksek risk olgularda olgularda her 6 saatte bir)</w:t>
      </w:r>
    </w:p>
    <w:p w14:paraId="512F6EFC" w14:textId="5317FBF5" w:rsidR="00A71C26" w:rsidRPr="00D51C2E" w:rsidRDefault="00A71C26" w:rsidP="00D51C2E">
      <w:pPr>
        <w:pStyle w:val="ListeParagraf"/>
        <w:numPr>
          <w:ilvl w:val="0"/>
          <w:numId w:val="13"/>
        </w:numPr>
        <w:rPr>
          <w:color w:val="000000" w:themeColor="text1"/>
        </w:rPr>
      </w:pPr>
      <w:r>
        <w:rPr>
          <w:color w:val="000000" w:themeColor="text1"/>
        </w:rPr>
        <w:t>Kanama ve tromboz risklerine karşı LP yapılması, kateter takılması, invaziv girişimler önerilmez.</w:t>
      </w:r>
    </w:p>
    <w:p w14:paraId="6580849F" w14:textId="1592E09B" w:rsidR="00D51C2E" w:rsidRPr="00D51C2E" w:rsidRDefault="00D51C2E" w:rsidP="00D51C2E">
      <w:pPr>
        <w:pStyle w:val="ListeParagraf"/>
        <w:numPr>
          <w:ilvl w:val="0"/>
          <w:numId w:val="13"/>
        </w:numPr>
        <w:rPr>
          <w:color w:val="000000" w:themeColor="text1"/>
        </w:rPr>
      </w:pPr>
      <w:r w:rsidRPr="00D51C2E">
        <w:rPr>
          <w:color w:val="000000" w:themeColor="text1"/>
        </w:rPr>
        <w:t>Ani gelişen nefes darlığı ve kilo artışı durumunda ATRA sendromundan şüphelenilmeli (günlük kilo takibi yapılmalı) ve dekzametazon 2x10 mg başlanmalı</w:t>
      </w:r>
      <w:r>
        <w:rPr>
          <w:color w:val="000000" w:themeColor="text1"/>
        </w:rPr>
        <w:t>dır.</w:t>
      </w:r>
    </w:p>
    <w:p w14:paraId="3B442FA5" w14:textId="2306F211" w:rsidR="00D51C2E" w:rsidRPr="00D51C2E" w:rsidRDefault="00D51C2E" w:rsidP="00D51C2E">
      <w:pPr>
        <w:pStyle w:val="ListeParagraf"/>
        <w:numPr>
          <w:ilvl w:val="0"/>
          <w:numId w:val="13"/>
        </w:numPr>
        <w:rPr>
          <w:color w:val="000000" w:themeColor="text1"/>
        </w:rPr>
      </w:pPr>
      <w:r w:rsidRPr="00D51C2E">
        <w:rPr>
          <w:color w:val="000000" w:themeColor="text1"/>
        </w:rPr>
        <w:t>Arsenik trioksit kullananlarda seri EKG tak</w:t>
      </w:r>
      <w:r>
        <w:rPr>
          <w:color w:val="000000" w:themeColor="text1"/>
        </w:rPr>
        <w:t>ibi yapılmalı, QTc uzaması açısı</w:t>
      </w:r>
      <w:r w:rsidRPr="00D51C2E">
        <w:rPr>
          <w:color w:val="000000" w:themeColor="text1"/>
        </w:rPr>
        <w:t>ndan dikkatli olunmalı</w:t>
      </w:r>
      <w:r>
        <w:rPr>
          <w:color w:val="000000" w:themeColor="text1"/>
        </w:rPr>
        <w:t>dır.</w:t>
      </w:r>
    </w:p>
    <w:p w14:paraId="65DFDFF2" w14:textId="5C814D64" w:rsidR="00D51C2E" w:rsidRDefault="00D51C2E" w:rsidP="00D51C2E">
      <w:pPr>
        <w:pStyle w:val="ListeParagraf"/>
        <w:numPr>
          <w:ilvl w:val="0"/>
          <w:numId w:val="13"/>
        </w:numPr>
        <w:rPr>
          <w:color w:val="000000" w:themeColor="text1"/>
        </w:rPr>
      </w:pPr>
      <w:r w:rsidRPr="00D51C2E">
        <w:rPr>
          <w:color w:val="000000" w:themeColor="text1"/>
        </w:rPr>
        <w:t>Günlük K+ ve Mg++ replasmanı yaparak normal-yüksek düzeylerde tutulmalı</w:t>
      </w:r>
      <w:r>
        <w:rPr>
          <w:color w:val="000000" w:themeColor="text1"/>
        </w:rPr>
        <w:t>dır</w:t>
      </w:r>
      <w:r w:rsidRPr="00D51C2E">
        <w:rPr>
          <w:color w:val="000000" w:themeColor="text1"/>
        </w:rPr>
        <w:t>.</w:t>
      </w:r>
    </w:p>
    <w:p w14:paraId="6782DFA6" w14:textId="22CAD9D8" w:rsidR="00D51C2E" w:rsidRPr="00D51C2E" w:rsidRDefault="00D51C2E" w:rsidP="00D51C2E">
      <w:pPr>
        <w:pStyle w:val="ListeParagraf"/>
        <w:numPr>
          <w:ilvl w:val="0"/>
          <w:numId w:val="13"/>
        </w:numPr>
        <w:rPr>
          <w:color w:val="000000" w:themeColor="text1"/>
        </w:rPr>
      </w:pPr>
      <w:r>
        <w:rPr>
          <w:color w:val="000000" w:themeColor="text1"/>
        </w:rPr>
        <w:t>G-CSF uygulanmamalıdır.</w:t>
      </w:r>
    </w:p>
    <w:p w14:paraId="7D158A5C" w14:textId="77777777" w:rsidR="00D51C2E" w:rsidRDefault="00D51C2E" w:rsidP="00403DA1">
      <w:pPr>
        <w:rPr>
          <w:color w:val="000000" w:themeColor="text1"/>
        </w:rPr>
      </w:pPr>
    </w:p>
    <w:p w14:paraId="3B185593" w14:textId="2F4C2BE9" w:rsidR="009133B4" w:rsidRDefault="009133B4" w:rsidP="00403DA1">
      <w:pPr>
        <w:rPr>
          <w:color w:val="000000" w:themeColor="text1"/>
        </w:rPr>
      </w:pPr>
    </w:p>
    <w:p w14:paraId="112D0C11" w14:textId="77777777" w:rsidR="00D51C2E" w:rsidRDefault="00D51C2E" w:rsidP="00403DA1">
      <w:pPr>
        <w:rPr>
          <w:color w:val="000000" w:themeColor="text1"/>
        </w:rPr>
      </w:pPr>
    </w:p>
    <w:p w14:paraId="6D5886CF" w14:textId="3E581B81" w:rsidR="001C2E78" w:rsidRPr="009B3CEF" w:rsidRDefault="001C2E78" w:rsidP="001C2E78">
      <w:pPr>
        <w:pStyle w:val="ListeParagraf"/>
        <w:numPr>
          <w:ilvl w:val="0"/>
          <w:numId w:val="11"/>
        </w:numPr>
        <w:rPr>
          <w:color w:val="000000" w:themeColor="text1"/>
          <w:u w:val="single"/>
        </w:rPr>
      </w:pPr>
      <w:r w:rsidRPr="009B3CEF">
        <w:rPr>
          <w:color w:val="000000" w:themeColor="text1"/>
          <w:u w:val="single"/>
        </w:rPr>
        <w:t xml:space="preserve">Yüksek risk APL: </w:t>
      </w:r>
      <w:r w:rsidR="00CD0469" w:rsidRPr="009B3CEF">
        <w:rPr>
          <w:color w:val="000000" w:themeColor="text1"/>
          <w:u w:val="single"/>
        </w:rPr>
        <w:t>WBC sayısı &gt; 10.000/mikroL</w:t>
      </w:r>
    </w:p>
    <w:p w14:paraId="58412723" w14:textId="7B136500" w:rsidR="008F0570" w:rsidRDefault="008F0570" w:rsidP="008F0570">
      <w:pPr>
        <w:pStyle w:val="ListeParagraf"/>
        <w:numPr>
          <w:ilvl w:val="0"/>
          <w:numId w:val="12"/>
        </w:numPr>
        <w:rPr>
          <w:color w:val="000000" w:themeColor="text1"/>
        </w:rPr>
      </w:pPr>
      <w:r>
        <w:rPr>
          <w:color w:val="000000" w:themeColor="text1"/>
        </w:rPr>
        <w:t>ATRA 45 mg/m</w:t>
      </w:r>
      <w:r>
        <w:rPr>
          <w:color w:val="000000" w:themeColor="text1"/>
          <w:vertAlign w:val="superscript"/>
        </w:rPr>
        <w:t xml:space="preserve">2 </w:t>
      </w:r>
      <w:r>
        <w:rPr>
          <w:color w:val="000000" w:themeColor="text1"/>
        </w:rPr>
        <w:t>(iki bölünmüş dozda) + (3 gün x daunorubisin 60 mg/m</w:t>
      </w:r>
      <w:r>
        <w:rPr>
          <w:color w:val="000000" w:themeColor="text1"/>
          <w:vertAlign w:val="superscript"/>
        </w:rPr>
        <w:t>2</w:t>
      </w:r>
      <w:r>
        <w:rPr>
          <w:color w:val="000000" w:themeColor="text1"/>
        </w:rPr>
        <w:t xml:space="preserve"> veya idarubisin 12 mg/m</w:t>
      </w:r>
      <w:r>
        <w:rPr>
          <w:color w:val="000000" w:themeColor="text1"/>
          <w:vertAlign w:val="superscript"/>
        </w:rPr>
        <w:t xml:space="preserve">2 </w:t>
      </w:r>
      <w:r>
        <w:rPr>
          <w:color w:val="000000" w:themeColor="text1"/>
        </w:rPr>
        <w:t>+ Ara-C 200 mg/m</w:t>
      </w:r>
      <w:r>
        <w:rPr>
          <w:color w:val="000000" w:themeColor="text1"/>
          <w:vertAlign w:val="superscript"/>
        </w:rPr>
        <w:t>2</w:t>
      </w:r>
      <w:r>
        <w:rPr>
          <w:color w:val="000000" w:themeColor="text1"/>
        </w:rPr>
        <w:t>x 7 gün)</w:t>
      </w:r>
      <w:r w:rsidR="009477D9">
        <w:rPr>
          <w:color w:val="000000" w:themeColor="text1"/>
        </w:rPr>
        <w:t xml:space="preserve"> veya </w:t>
      </w:r>
    </w:p>
    <w:p w14:paraId="2FC0FA53" w14:textId="77777777" w:rsidR="009477D9" w:rsidRPr="009477D9" w:rsidRDefault="009477D9" w:rsidP="009477D9">
      <w:pPr>
        <w:pStyle w:val="ListeParagraf"/>
        <w:numPr>
          <w:ilvl w:val="0"/>
          <w:numId w:val="12"/>
        </w:numPr>
        <w:rPr>
          <w:rFonts w:ascii="Times New Roman" w:eastAsia="Times New Roman" w:hAnsi="Times New Roman" w:cs="Times New Roman"/>
        </w:rPr>
      </w:pPr>
      <w:r w:rsidRPr="009477D9">
        <w:rPr>
          <w:rFonts w:eastAsia="Times New Roman"/>
        </w:rPr>
        <w:t>ATRA 45 mg/m² + idarubisin 12 mg/m² 2, 4, 6, 8. günler kullanılabilir.</w:t>
      </w:r>
    </w:p>
    <w:p w14:paraId="3B52A8E1" w14:textId="2C92FE76" w:rsidR="008F0570" w:rsidRPr="009477D9" w:rsidRDefault="009477D9" w:rsidP="009477D9">
      <w:pPr>
        <w:pStyle w:val="ListeParagraf"/>
        <w:ind w:left="1080"/>
        <w:rPr>
          <w:b/>
          <w:color w:val="000000" w:themeColor="text1"/>
          <w:u w:val="single"/>
        </w:rPr>
      </w:pPr>
      <w:r w:rsidRPr="009477D9">
        <w:rPr>
          <w:b/>
          <w:color w:val="000000" w:themeColor="text1"/>
          <w:u w:val="single"/>
        </w:rPr>
        <w:t xml:space="preserve">Antrasiklin kullanamayacak olgularda: </w:t>
      </w:r>
    </w:p>
    <w:p w14:paraId="66FD9C37" w14:textId="77777777" w:rsidR="009477D9" w:rsidRDefault="009477D9" w:rsidP="008F0570">
      <w:pPr>
        <w:rPr>
          <w:rFonts w:eastAsia="Times New Roman"/>
        </w:rPr>
      </w:pPr>
      <w:r>
        <w:rPr>
          <w:rFonts w:asciiTheme="minorHAnsi" w:hAnsiTheme="minorHAnsi" w:cstheme="minorBidi"/>
          <w:color w:val="000000" w:themeColor="text1"/>
          <w:lang w:eastAsia="en-US"/>
        </w:rPr>
        <w:t xml:space="preserve">                    </w:t>
      </w:r>
      <w:r w:rsidRPr="009477D9">
        <w:rPr>
          <w:rFonts w:eastAsia="Times New Roman"/>
        </w:rPr>
        <w:t>ATRA 45 mg/m²</w:t>
      </w:r>
      <w:r>
        <w:rPr>
          <w:rFonts w:eastAsia="Times New Roman"/>
        </w:rPr>
        <w:t xml:space="preserve"> + ATO (0.15 mg/ kg…kemik iliğinde remisyon elde edilene dek   </w:t>
      </w:r>
    </w:p>
    <w:p w14:paraId="762D3249" w14:textId="3EEF14A7" w:rsidR="0052028C" w:rsidRDefault="009477D9" w:rsidP="008F0570">
      <w:pPr>
        <w:rPr>
          <w:rFonts w:eastAsia="Times New Roman"/>
        </w:rPr>
      </w:pPr>
      <w:r>
        <w:rPr>
          <w:rFonts w:eastAsia="Times New Roman"/>
        </w:rPr>
        <w:t xml:space="preserve">                  uygulanmalıdır.)</w:t>
      </w:r>
    </w:p>
    <w:p w14:paraId="74F82780" w14:textId="5C8BC53E" w:rsidR="0052028C" w:rsidRDefault="0052028C" w:rsidP="008F0570">
      <w:pPr>
        <w:rPr>
          <w:rFonts w:eastAsia="Times New Roman"/>
          <w:color w:val="0070C0"/>
        </w:rPr>
      </w:pPr>
      <w:r>
        <w:rPr>
          <w:rFonts w:eastAsia="Times New Roman"/>
        </w:rPr>
        <w:t xml:space="preserve">İndüksiyon tedavisinden sonra </w:t>
      </w:r>
      <w:r w:rsidRPr="0052028C">
        <w:rPr>
          <w:rFonts w:eastAsia="Times New Roman"/>
          <w:color w:val="0070C0"/>
        </w:rPr>
        <w:t xml:space="preserve">28. Günde kemik iliği aspirasyon kontrolü yapılır. </w:t>
      </w:r>
    </w:p>
    <w:p w14:paraId="18110AED" w14:textId="542FFA78" w:rsidR="002C3197" w:rsidRDefault="002C3197" w:rsidP="008F0570">
      <w:pPr>
        <w:rPr>
          <w:rFonts w:eastAsia="Times New Roman"/>
          <w:color w:val="0070C0"/>
        </w:rPr>
      </w:pPr>
      <w:r w:rsidRPr="002C3197">
        <w:rPr>
          <w:rFonts w:eastAsia="Times New Roman"/>
          <w:color w:val="000000" w:themeColor="text1"/>
        </w:rPr>
        <w:t xml:space="preserve">TR elde edilen olgularda konsolidasyon tedavisine geçilir. Yüksek risk olgularda İT tedavi ile SSS profilaksisi uygulanmalıdır (her konsolidasyonda iki doz uygulanabilir. Toplam 4-6 kür yeterli olabilir) </w:t>
      </w:r>
    </w:p>
    <w:p w14:paraId="791AB7E8" w14:textId="5D179229" w:rsidR="0052028C" w:rsidRDefault="0052028C" w:rsidP="008F0570">
      <w:pPr>
        <w:rPr>
          <w:rFonts w:eastAsia="Times New Roman"/>
        </w:rPr>
      </w:pPr>
    </w:p>
    <w:p w14:paraId="45BF3226" w14:textId="77777777" w:rsidR="00C32691" w:rsidRPr="009B3CEF" w:rsidRDefault="00C32691" w:rsidP="008F0570">
      <w:pPr>
        <w:rPr>
          <w:rFonts w:eastAsia="Times New Roman"/>
          <w:u w:val="single"/>
        </w:rPr>
      </w:pPr>
    </w:p>
    <w:p w14:paraId="52F3B4E5" w14:textId="418D8778" w:rsidR="00C32691" w:rsidRPr="00DB0808" w:rsidRDefault="00C32691" w:rsidP="00DB0808">
      <w:pPr>
        <w:pStyle w:val="ListeParagraf"/>
        <w:numPr>
          <w:ilvl w:val="0"/>
          <w:numId w:val="11"/>
        </w:numPr>
        <w:rPr>
          <w:color w:val="000000" w:themeColor="text1"/>
        </w:rPr>
      </w:pPr>
      <w:r w:rsidRPr="00DB0808">
        <w:rPr>
          <w:rFonts w:eastAsia="Times New Roman"/>
          <w:u w:val="single"/>
        </w:rPr>
        <w:t xml:space="preserve">Düşük risk APL: WBC sayısı </w:t>
      </w:r>
      <w:r w:rsidR="00DB0808">
        <w:rPr>
          <w:color w:val="000000" w:themeColor="text1"/>
        </w:rPr>
        <w:sym w:font="Symbol" w:char="F0A3"/>
      </w:r>
      <w:r w:rsidR="00DB0808" w:rsidRPr="00DB0808">
        <w:rPr>
          <w:color w:val="000000" w:themeColor="text1"/>
        </w:rPr>
        <w:t xml:space="preserve"> </w:t>
      </w:r>
      <w:r w:rsidRPr="00DB0808">
        <w:rPr>
          <w:rFonts w:eastAsia="Times New Roman"/>
          <w:u w:val="single"/>
        </w:rPr>
        <w:t>10.000/mikroL</w:t>
      </w:r>
    </w:p>
    <w:p w14:paraId="684F3F37" w14:textId="6C27E630" w:rsidR="00C32691" w:rsidRPr="009E56EC" w:rsidRDefault="00C32691" w:rsidP="00C32691">
      <w:pPr>
        <w:pStyle w:val="ListeParagraf"/>
        <w:numPr>
          <w:ilvl w:val="0"/>
          <w:numId w:val="17"/>
        </w:numPr>
        <w:rPr>
          <w:rFonts w:eastAsia="Times New Roman"/>
        </w:rPr>
      </w:pPr>
      <w:r>
        <w:rPr>
          <w:rFonts w:eastAsia="Times New Roman"/>
        </w:rPr>
        <w:t xml:space="preserve">ATRA </w:t>
      </w:r>
      <w:r>
        <w:rPr>
          <w:color w:val="000000" w:themeColor="text1"/>
        </w:rPr>
        <w:t>45 mg/m</w:t>
      </w:r>
      <w:r>
        <w:rPr>
          <w:color w:val="000000" w:themeColor="text1"/>
          <w:vertAlign w:val="superscript"/>
        </w:rPr>
        <w:t xml:space="preserve">2 </w:t>
      </w:r>
      <w:r>
        <w:rPr>
          <w:color w:val="000000" w:themeColor="text1"/>
        </w:rPr>
        <w:t>(iki bölünmüş dozda) + idarubisin 12 mg/m</w:t>
      </w:r>
      <w:r>
        <w:rPr>
          <w:color w:val="000000" w:themeColor="text1"/>
          <w:vertAlign w:val="superscript"/>
        </w:rPr>
        <w:t xml:space="preserve">2 </w:t>
      </w:r>
      <w:r>
        <w:rPr>
          <w:color w:val="000000" w:themeColor="text1"/>
        </w:rPr>
        <w:t>(2,4,6,8)</w:t>
      </w:r>
    </w:p>
    <w:p w14:paraId="76BC1BD4" w14:textId="77777777" w:rsidR="009E56EC" w:rsidRDefault="009E56EC" w:rsidP="009E56EC">
      <w:pPr>
        <w:rPr>
          <w:rFonts w:eastAsia="Times New Roman"/>
        </w:rPr>
      </w:pPr>
    </w:p>
    <w:p w14:paraId="505E7D92" w14:textId="77777777" w:rsidR="009E56EC" w:rsidRPr="00D47504" w:rsidRDefault="009E56EC" w:rsidP="009E56EC">
      <w:pPr>
        <w:rPr>
          <w:rFonts w:eastAsia="Times New Roman"/>
          <w:color w:val="0070C0"/>
        </w:rPr>
      </w:pPr>
      <w:r w:rsidRPr="009E56EC">
        <w:rPr>
          <w:rFonts w:eastAsia="Times New Roman"/>
          <w:color w:val="FF0000"/>
        </w:rPr>
        <w:t xml:space="preserve">Öneri: </w:t>
      </w:r>
      <w:r w:rsidRPr="00D47504">
        <w:rPr>
          <w:rFonts w:eastAsia="Times New Roman"/>
          <w:color w:val="0070C0"/>
        </w:rPr>
        <w:t xml:space="preserve">ATRA 45 mg/m² + ATO (0.15 mg/ kg…kemik iliğinde remisyon elde edilene dek   </w:t>
      </w:r>
    </w:p>
    <w:p w14:paraId="540424DA" w14:textId="60A9CE16" w:rsidR="009E56EC" w:rsidRPr="00D47504" w:rsidRDefault="009E56EC" w:rsidP="009E56EC">
      <w:pPr>
        <w:rPr>
          <w:rFonts w:eastAsia="Times New Roman"/>
          <w:color w:val="0070C0"/>
        </w:rPr>
      </w:pPr>
      <w:r w:rsidRPr="00D47504">
        <w:rPr>
          <w:rFonts w:eastAsia="Times New Roman"/>
          <w:color w:val="0070C0"/>
        </w:rPr>
        <w:t xml:space="preserve">                  uygulanmalıdır.)</w:t>
      </w:r>
      <w:r w:rsidR="009B3CEF" w:rsidRPr="00D47504">
        <w:rPr>
          <w:rFonts w:eastAsia="Times New Roman"/>
          <w:color w:val="0070C0"/>
        </w:rPr>
        <w:t xml:space="preserve"> (İndikasyon dışı başvuru ile kullanılabilir).</w:t>
      </w:r>
    </w:p>
    <w:p w14:paraId="45204790" w14:textId="02662B4B" w:rsidR="009E56EC" w:rsidRPr="009E56EC" w:rsidRDefault="009E56EC" w:rsidP="009E56EC">
      <w:pPr>
        <w:rPr>
          <w:rFonts w:eastAsia="Times New Roman"/>
        </w:rPr>
      </w:pPr>
    </w:p>
    <w:p w14:paraId="32F3BC9B" w14:textId="10D7E1B9" w:rsidR="008F0570" w:rsidRPr="002C3197" w:rsidRDefault="002C3197" w:rsidP="008F0570">
      <w:pPr>
        <w:rPr>
          <w:b/>
          <w:color w:val="000000" w:themeColor="text1"/>
          <w:sz w:val="28"/>
          <w:szCs w:val="28"/>
        </w:rPr>
      </w:pPr>
      <w:r w:rsidRPr="002C3197">
        <w:rPr>
          <w:b/>
          <w:color w:val="000000" w:themeColor="text1"/>
          <w:sz w:val="28"/>
          <w:szCs w:val="28"/>
        </w:rPr>
        <w:t>Konsolidasyon Tedavisi:</w:t>
      </w:r>
    </w:p>
    <w:p w14:paraId="12ADB86C" w14:textId="75307B06" w:rsidR="002C3197" w:rsidRDefault="002C3197" w:rsidP="008F0570">
      <w:pPr>
        <w:rPr>
          <w:color w:val="000000" w:themeColor="text1"/>
        </w:rPr>
      </w:pPr>
    </w:p>
    <w:p w14:paraId="4B9741F3" w14:textId="4260FC07" w:rsidR="008F0570" w:rsidRDefault="00763AEB" w:rsidP="00D34F2D">
      <w:pPr>
        <w:pStyle w:val="ListeParagraf"/>
        <w:numPr>
          <w:ilvl w:val="0"/>
          <w:numId w:val="18"/>
        </w:numPr>
        <w:rPr>
          <w:color w:val="000000" w:themeColor="text1"/>
        </w:rPr>
      </w:pPr>
      <w:r>
        <w:rPr>
          <w:color w:val="000000" w:themeColor="text1"/>
        </w:rPr>
        <w:t xml:space="preserve">ATRA + </w:t>
      </w:r>
      <w:r w:rsidR="00880392">
        <w:rPr>
          <w:color w:val="000000" w:themeColor="text1"/>
        </w:rPr>
        <w:t xml:space="preserve">KT </w:t>
      </w:r>
      <w:r>
        <w:rPr>
          <w:color w:val="000000" w:themeColor="text1"/>
        </w:rPr>
        <w:t xml:space="preserve">alan </w:t>
      </w:r>
      <w:r w:rsidR="00880392">
        <w:rPr>
          <w:color w:val="000000" w:themeColor="text1"/>
        </w:rPr>
        <w:t xml:space="preserve">düşük risk </w:t>
      </w:r>
      <w:r>
        <w:rPr>
          <w:color w:val="000000" w:themeColor="text1"/>
        </w:rPr>
        <w:t>olgularda TR elde edildiğinde</w:t>
      </w:r>
      <w:r w:rsidR="00880392">
        <w:rPr>
          <w:color w:val="000000" w:themeColor="text1"/>
        </w:rPr>
        <w:t xml:space="preserve"> :</w:t>
      </w:r>
    </w:p>
    <w:p w14:paraId="588A07FB" w14:textId="5380D572" w:rsidR="00880392" w:rsidRDefault="00880392" w:rsidP="00880392">
      <w:pPr>
        <w:pStyle w:val="ListeParagraf"/>
        <w:numPr>
          <w:ilvl w:val="0"/>
          <w:numId w:val="19"/>
        </w:numPr>
        <w:rPr>
          <w:color w:val="000000" w:themeColor="text1"/>
        </w:rPr>
      </w:pPr>
      <w:r>
        <w:rPr>
          <w:color w:val="000000" w:themeColor="text1"/>
        </w:rPr>
        <w:t>ATRA 45 mg/m</w:t>
      </w:r>
      <w:r w:rsidRPr="00880392">
        <w:rPr>
          <w:color w:val="000000" w:themeColor="text1"/>
          <w:vertAlign w:val="superscript"/>
        </w:rPr>
        <w:t>2</w:t>
      </w:r>
      <w:r>
        <w:rPr>
          <w:color w:val="000000" w:themeColor="text1"/>
        </w:rPr>
        <w:t xml:space="preserve"> x 15 gün + İdarubisin 5 mg/m</w:t>
      </w:r>
      <w:r w:rsidRPr="00880392">
        <w:rPr>
          <w:color w:val="000000" w:themeColor="text1"/>
          <w:vertAlign w:val="superscript"/>
        </w:rPr>
        <w:t>2</w:t>
      </w:r>
      <w:r>
        <w:rPr>
          <w:color w:val="000000" w:themeColor="text1"/>
        </w:rPr>
        <w:t xml:space="preserve"> x 4 gün 1 kür, ardından ATRA 45 mg/m</w:t>
      </w:r>
      <w:r w:rsidRPr="00880392">
        <w:rPr>
          <w:color w:val="000000" w:themeColor="text1"/>
          <w:vertAlign w:val="superscript"/>
        </w:rPr>
        <w:t>2</w:t>
      </w:r>
      <w:r>
        <w:rPr>
          <w:color w:val="000000" w:themeColor="text1"/>
        </w:rPr>
        <w:t xml:space="preserve"> x 15 gün  + Mitoksantron 10 mg/m</w:t>
      </w:r>
      <w:r w:rsidRPr="00880392">
        <w:rPr>
          <w:color w:val="000000" w:themeColor="text1"/>
          <w:vertAlign w:val="superscript"/>
        </w:rPr>
        <w:t>2</w:t>
      </w:r>
      <w:r>
        <w:rPr>
          <w:color w:val="000000" w:themeColor="text1"/>
        </w:rPr>
        <w:t>/gün x 3 gün 1 kür, sonrasında ATRA 45 mg/m</w:t>
      </w:r>
      <w:r w:rsidRPr="00880392">
        <w:rPr>
          <w:color w:val="000000" w:themeColor="text1"/>
          <w:vertAlign w:val="superscript"/>
        </w:rPr>
        <w:t>2</w:t>
      </w:r>
      <w:r>
        <w:rPr>
          <w:color w:val="000000" w:themeColor="text1"/>
        </w:rPr>
        <w:t xml:space="preserve"> x 15 gün + İdarubisin 12 mg/m</w:t>
      </w:r>
      <w:r w:rsidRPr="00880392">
        <w:rPr>
          <w:color w:val="000000" w:themeColor="text1"/>
          <w:vertAlign w:val="superscript"/>
        </w:rPr>
        <w:t>2</w:t>
      </w:r>
      <w:r>
        <w:rPr>
          <w:color w:val="000000" w:themeColor="text1"/>
        </w:rPr>
        <w:t xml:space="preserve"> tek gün</w:t>
      </w:r>
    </w:p>
    <w:p w14:paraId="3DC89820" w14:textId="6B65E864" w:rsidR="00880392" w:rsidRDefault="00880392" w:rsidP="00880392">
      <w:pPr>
        <w:pStyle w:val="ListeParagraf"/>
        <w:ind w:left="1080"/>
        <w:rPr>
          <w:color w:val="000000" w:themeColor="text1"/>
        </w:rPr>
      </w:pPr>
      <w:r>
        <w:rPr>
          <w:color w:val="000000" w:themeColor="text1"/>
        </w:rPr>
        <w:t>Olmak üzere 3 kürlük konsolidasyon tedavisi uygulanır.</w:t>
      </w:r>
    </w:p>
    <w:p w14:paraId="5D9353AC" w14:textId="45776B40" w:rsidR="0051286B" w:rsidRDefault="0051286B" w:rsidP="0051286B">
      <w:pPr>
        <w:pStyle w:val="ListeParagraf"/>
        <w:numPr>
          <w:ilvl w:val="0"/>
          <w:numId w:val="19"/>
        </w:numPr>
        <w:rPr>
          <w:color w:val="000000" w:themeColor="text1"/>
        </w:rPr>
      </w:pPr>
      <w:r>
        <w:rPr>
          <w:color w:val="000000" w:themeColor="text1"/>
        </w:rPr>
        <w:t>1 kür daha 3+7, ardından sitarabin 1 g/m</w:t>
      </w:r>
      <w:r w:rsidRPr="0051286B">
        <w:rPr>
          <w:color w:val="000000" w:themeColor="text1"/>
          <w:vertAlign w:val="superscript"/>
        </w:rPr>
        <w:t>2</w:t>
      </w:r>
      <w:r w:rsidR="007B1022">
        <w:rPr>
          <w:color w:val="000000" w:themeColor="text1"/>
        </w:rPr>
        <w:t xml:space="preserve"> </w:t>
      </w:r>
      <w:r w:rsidR="00226C60">
        <w:rPr>
          <w:color w:val="000000" w:themeColor="text1"/>
        </w:rPr>
        <w:t>x 2, 1-4 gün</w:t>
      </w:r>
      <w:r w:rsidR="00A71C26">
        <w:rPr>
          <w:color w:val="000000" w:themeColor="text1"/>
        </w:rPr>
        <w:t xml:space="preserve"> + ATRA</w:t>
      </w:r>
      <w:r w:rsidR="00B5274D">
        <w:rPr>
          <w:color w:val="000000" w:themeColor="text1"/>
        </w:rPr>
        <w:t xml:space="preserve">  45 mg/m</w:t>
      </w:r>
      <w:r w:rsidR="00B5274D" w:rsidRPr="00B5274D">
        <w:rPr>
          <w:color w:val="000000" w:themeColor="text1"/>
          <w:vertAlign w:val="superscript"/>
        </w:rPr>
        <w:t>2</w:t>
      </w:r>
      <w:r w:rsidR="00B5274D">
        <w:rPr>
          <w:color w:val="000000" w:themeColor="text1"/>
        </w:rPr>
        <w:t xml:space="preserve"> x </w:t>
      </w:r>
      <w:r w:rsidR="00A71C26">
        <w:rPr>
          <w:color w:val="000000" w:themeColor="text1"/>
        </w:rPr>
        <w:t>15 gün</w:t>
      </w:r>
    </w:p>
    <w:p w14:paraId="7D8D55F0" w14:textId="48F65958" w:rsidR="00A724A6" w:rsidRDefault="00A724A6" w:rsidP="00A724A6">
      <w:pPr>
        <w:pStyle w:val="ListeParagraf"/>
        <w:numPr>
          <w:ilvl w:val="0"/>
          <w:numId w:val="18"/>
        </w:numPr>
        <w:rPr>
          <w:color w:val="000000" w:themeColor="text1"/>
        </w:rPr>
      </w:pPr>
      <w:r>
        <w:rPr>
          <w:color w:val="000000" w:themeColor="text1"/>
        </w:rPr>
        <w:t>ATRA + Arsenik trioksit indüksiyon tedavisi olarak kullanılmışsa :</w:t>
      </w:r>
    </w:p>
    <w:p w14:paraId="5F7A0F7E" w14:textId="78F3C2FA" w:rsidR="00A724A6" w:rsidRDefault="00A724A6" w:rsidP="00A724A6">
      <w:pPr>
        <w:pStyle w:val="ListeParagraf"/>
        <w:numPr>
          <w:ilvl w:val="0"/>
          <w:numId w:val="20"/>
        </w:numPr>
        <w:rPr>
          <w:color w:val="000000" w:themeColor="text1"/>
        </w:rPr>
      </w:pPr>
      <w:r>
        <w:rPr>
          <w:color w:val="000000" w:themeColor="text1"/>
        </w:rPr>
        <w:t>Arsenik trioksit 0.15 mg/kg/gün IV (haftada 5 gün, 4 hafta süre ile 8 haftada bir= 1 kür; 4 kür uygulanması) + ATRA 45 mg/m</w:t>
      </w:r>
      <w:r w:rsidRPr="00880392">
        <w:rPr>
          <w:color w:val="000000" w:themeColor="text1"/>
          <w:vertAlign w:val="superscript"/>
        </w:rPr>
        <w:t>2</w:t>
      </w:r>
      <w:r>
        <w:rPr>
          <w:color w:val="000000" w:themeColor="text1"/>
        </w:rPr>
        <w:t xml:space="preserve"> x 15 gün 4 haftada bir, toplamda 7 kür uygulanması önerilir.</w:t>
      </w:r>
    </w:p>
    <w:p w14:paraId="4195DD92" w14:textId="77777777" w:rsidR="00657E2C" w:rsidRDefault="00657E2C" w:rsidP="00657E2C">
      <w:pPr>
        <w:rPr>
          <w:color w:val="000000" w:themeColor="text1"/>
        </w:rPr>
      </w:pPr>
    </w:p>
    <w:p w14:paraId="11A0A635" w14:textId="31BD5D5E" w:rsidR="00657E2C" w:rsidRPr="009816A7" w:rsidRDefault="009816A7" w:rsidP="00657E2C">
      <w:pPr>
        <w:rPr>
          <w:b/>
          <w:color w:val="000000" w:themeColor="text1"/>
        </w:rPr>
      </w:pPr>
      <w:r w:rsidRPr="009816A7">
        <w:rPr>
          <w:b/>
          <w:color w:val="000000" w:themeColor="text1"/>
        </w:rPr>
        <w:t>İDAME TEDAVİSİ:</w:t>
      </w:r>
    </w:p>
    <w:p w14:paraId="33C899B4" w14:textId="054F88ED" w:rsidR="009816A7" w:rsidRDefault="009816A7" w:rsidP="00657E2C">
      <w:pPr>
        <w:rPr>
          <w:color w:val="000000" w:themeColor="text1"/>
        </w:rPr>
      </w:pPr>
      <w:r>
        <w:rPr>
          <w:color w:val="000000" w:themeColor="text1"/>
        </w:rPr>
        <w:t>Konsolidasyon sonrası (3 aylık ATRA’lı tedavi) PCR ile moleküler remisyon eldesi gözden geçirilir. Başlangıçta Kİ’den PCR ile PML-RAR alfa bakılmış ise ilk örneklem</w:t>
      </w:r>
      <w:r w:rsidR="004D140A">
        <w:rPr>
          <w:color w:val="000000" w:themeColor="text1"/>
        </w:rPr>
        <w:t>enin</w:t>
      </w:r>
      <w:r>
        <w:rPr>
          <w:color w:val="000000" w:themeColor="text1"/>
        </w:rPr>
        <w:t xml:space="preserve"> hem kemik iliğinden hem de periferik kandan yapılması uygun olacaktır. </w:t>
      </w:r>
      <w:r w:rsidR="001B6D09">
        <w:rPr>
          <w:color w:val="000000" w:themeColor="text1"/>
        </w:rPr>
        <w:t xml:space="preserve">İzlemde periferik kandan PCR ile 3 ayda bir 2 yıl süre ile PML-RARA takip edilir. </w:t>
      </w:r>
    </w:p>
    <w:p w14:paraId="6E42FD65" w14:textId="693B61E2" w:rsidR="009816A7" w:rsidRDefault="009816A7" w:rsidP="00657E2C">
      <w:pPr>
        <w:rPr>
          <w:color w:val="000000" w:themeColor="text1"/>
        </w:rPr>
      </w:pPr>
      <w:r>
        <w:rPr>
          <w:color w:val="000000" w:themeColor="text1"/>
        </w:rPr>
        <w:t>PCR negatif ise idame tedavisine geçilir.</w:t>
      </w:r>
    </w:p>
    <w:p w14:paraId="67C770B3" w14:textId="262719A8" w:rsidR="009816A7" w:rsidRDefault="009816A7" w:rsidP="00657E2C">
      <w:pPr>
        <w:rPr>
          <w:color w:val="000000" w:themeColor="text1"/>
        </w:rPr>
      </w:pPr>
      <w:r>
        <w:rPr>
          <w:color w:val="000000" w:themeColor="text1"/>
        </w:rPr>
        <w:t>PCR pozitif ise 4 hafta içinde tekrar edilir. PCR negatif ise idame tedavisine geçilir.</w:t>
      </w:r>
    </w:p>
    <w:p w14:paraId="7442CB91" w14:textId="5744AEB5" w:rsidR="001B6D09" w:rsidRDefault="001B6D09" w:rsidP="00657E2C">
      <w:pPr>
        <w:rPr>
          <w:color w:val="000000" w:themeColor="text1"/>
        </w:rPr>
      </w:pPr>
      <w:r>
        <w:rPr>
          <w:color w:val="000000" w:themeColor="text1"/>
        </w:rPr>
        <w:t>İzlemde PCR pozitifliği varsa nüks hastalık olarak kabul edilir.</w:t>
      </w:r>
    </w:p>
    <w:p w14:paraId="78817712" w14:textId="77777777" w:rsidR="002458AC" w:rsidRDefault="002458AC" w:rsidP="00657E2C">
      <w:pPr>
        <w:rPr>
          <w:color w:val="000000" w:themeColor="text1"/>
        </w:rPr>
      </w:pPr>
    </w:p>
    <w:p w14:paraId="0BD7C448" w14:textId="75C1EC34" w:rsidR="0000512A" w:rsidRDefault="0000512A" w:rsidP="00657E2C">
      <w:pPr>
        <w:rPr>
          <w:color w:val="000000" w:themeColor="text1"/>
        </w:rPr>
      </w:pPr>
    </w:p>
    <w:p w14:paraId="2B8F7A6F" w14:textId="3A58B6C9" w:rsidR="001B6D09" w:rsidRPr="001B6D09" w:rsidRDefault="001B6D09" w:rsidP="00657E2C">
      <w:pPr>
        <w:rPr>
          <w:b/>
          <w:color w:val="000000" w:themeColor="text1"/>
        </w:rPr>
      </w:pPr>
      <w:r w:rsidRPr="001B6D09">
        <w:rPr>
          <w:b/>
          <w:color w:val="000000" w:themeColor="text1"/>
        </w:rPr>
        <w:t>RELAPS APL TEDAVİSİ</w:t>
      </w:r>
    </w:p>
    <w:p w14:paraId="6F91A677" w14:textId="77777777" w:rsidR="0000512A" w:rsidRPr="001B6D09" w:rsidRDefault="0000512A" w:rsidP="00657E2C">
      <w:pPr>
        <w:rPr>
          <w:b/>
          <w:color w:val="000000" w:themeColor="text1"/>
        </w:rPr>
      </w:pPr>
    </w:p>
    <w:p w14:paraId="41AC18CB" w14:textId="3A96533C" w:rsidR="0000512A" w:rsidRPr="00197804" w:rsidRDefault="001B6D09" w:rsidP="00657E2C">
      <w:pPr>
        <w:rPr>
          <w:b/>
          <w:color w:val="000000" w:themeColor="text1"/>
        </w:rPr>
      </w:pPr>
      <w:r>
        <w:rPr>
          <w:color w:val="000000" w:themeColor="text1"/>
        </w:rPr>
        <w:t xml:space="preserve">Relaps hastalık morfolojik ya da moleküler olabilir. </w:t>
      </w:r>
      <w:r w:rsidRPr="00197804">
        <w:rPr>
          <w:b/>
          <w:color w:val="000000" w:themeColor="text1"/>
        </w:rPr>
        <w:t xml:space="preserve">6 aydan önce nüks olan erken nükslerde, </w:t>
      </w:r>
      <w:r w:rsidRPr="00197804">
        <w:rPr>
          <w:color w:val="000000" w:themeColor="text1"/>
        </w:rPr>
        <w:t>ilk sırada ATO uygulanmamışsa</w:t>
      </w:r>
      <w:r w:rsidRPr="00197804">
        <w:rPr>
          <w:b/>
          <w:color w:val="000000" w:themeColor="text1"/>
        </w:rPr>
        <w:t>:</w:t>
      </w:r>
    </w:p>
    <w:p w14:paraId="73485FF6" w14:textId="293E60FD" w:rsidR="001B6D09" w:rsidRDefault="001B6D09" w:rsidP="001B6D09">
      <w:pPr>
        <w:pStyle w:val="ListeParagraf"/>
        <w:numPr>
          <w:ilvl w:val="0"/>
          <w:numId w:val="21"/>
        </w:numPr>
        <w:rPr>
          <w:color w:val="000000" w:themeColor="text1"/>
        </w:rPr>
      </w:pPr>
      <w:r>
        <w:rPr>
          <w:color w:val="000000" w:themeColor="text1"/>
        </w:rPr>
        <w:t xml:space="preserve">ATO: 0.15 mg/kg IV </w:t>
      </w:r>
      <w:r>
        <w:rPr>
          <w:color w:val="000000" w:themeColor="text1"/>
        </w:rPr>
        <w:sym w:font="Symbol" w:char="F0B1"/>
      </w:r>
      <w:r>
        <w:rPr>
          <w:color w:val="000000" w:themeColor="text1"/>
        </w:rPr>
        <w:t xml:space="preserve"> ATRA 45 mg/m</w:t>
      </w:r>
      <w:r w:rsidRPr="001B6D09">
        <w:rPr>
          <w:color w:val="000000" w:themeColor="text1"/>
          <w:vertAlign w:val="superscript"/>
        </w:rPr>
        <w:t>2</w:t>
      </w:r>
      <w:r w:rsidR="008D768F">
        <w:rPr>
          <w:color w:val="000000" w:themeColor="text1"/>
        </w:rPr>
        <w:t xml:space="preserve"> kemik iliğinde remisyon elde edilesiye kadar uygulanır. </w:t>
      </w:r>
    </w:p>
    <w:p w14:paraId="009C4EA8" w14:textId="274A03BB" w:rsidR="00197804" w:rsidRDefault="00197804" w:rsidP="001B6D09">
      <w:pPr>
        <w:pStyle w:val="ListeParagraf"/>
        <w:numPr>
          <w:ilvl w:val="0"/>
          <w:numId w:val="21"/>
        </w:numPr>
        <w:rPr>
          <w:color w:val="000000" w:themeColor="text1"/>
        </w:rPr>
      </w:pPr>
      <w:r>
        <w:rPr>
          <w:color w:val="000000" w:themeColor="text1"/>
        </w:rPr>
        <w:t>Morfolojik ikinci remisyonda IT SSS profilaksisi düşünülmelidir (MTX veya AraC ile)</w:t>
      </w:r>
    </w:p>
    <w:p w14:paraId="5D7DF370" w14:textId="101BCB7C" w:rsidR="00197804" w:rsidRDefault="00197804" w:rsidP="001B6D09">
      <w:pPr>
        <w:pStyle w:val="ListeParagraf"/>
        <w:numPr>
          <w:ilvl w:val="0"/>
          <w:numId w:val="21"/>
        </w:numPr>
        <w:rPr>
          <w:color w:val="000000" w:themeColor="text1"/>
        </w:rPr>
      </w:pPr>
      <w:r>
        <w:rPr>
          <w:color w:val="000000" w:themeColor="text1"/>
        </w:rPr>
        <w:t>PCR negatifliği elde edilmiş ise transplant adayı olanlar otolog kök hücre nakline yönlendirilebilir.</w:t>
      </w:r>
    </w:p>
    <w:p w14:paraId="6CDA5C82" w14:textId="3A18EEC4" w:rsidR="00197804" w:rsidRDefault="00197804" w:rsidP="001B6D09">
      <w:pPr>
        <w:pStyle w:val="ListeParagraf"/>
        <w:numPr>
          <w:ilvl w:val="0"/>
          <w:numId w:val="21"/>
        </w:numPr>
        <w:rPr>
          <w:color w:val="000000" w:themeColor="text1"/>
        </w:rPr>
      </w:pPr>
      <w:r>
        <w:rPr>
          <w:color w:val="000000" w:themeColor="text1"/>
        </w:rPr>
        <w:t>Transplant uygun değil ise ATO konsolidasyonu toplam 6 kür olarak uygulanabilir.</w:t>
      </w:r>
    </w:p>
    <w:p w14:paraId="155A0906" w14:textId="54385546" w:rsidR="00197804" w:rsidRDefault="00197804" w:rsidP="001B6D09">
      <w:pPr>
        <w:pStyle w:val="ListeParagraf"/>
        <w:numPr>
          <w:ilvl w:val="0"/>
          <w:numId w:val="21"/>
        </w:numPr>
        <w:rPr>
          <w:color w:val="000000" w:themeColor="text1"/>
        </w:rPr>
      </w:pPr>
      <w:r>
        <w:rPr>
          <w:color w:val="000000" w:themeColor="text1"/>
        </w:rPr>
        <w:t>PCR hala pozitif ise transplant adayı ise allojenik kök hücre nakline yönlendirilir</w:t>
      </w:r>
    </w:p>
    <w:p w14:paraId="698CA8E5" w14:textId="0A4C8E31" w:rsidR="00197804" w:rsidRPr="001B6D09" w:rsidRDefault="00197804" w:rsidP="001B6D09">
      <w:pPr>
        <w:pStyle w:val="ListeParagraf"/>
        <w:numPr>
          <w:ilvl w:val="0"/>
          <w:numId w:val="21"/>
        </w:numPr>
        <w:rPr>
          <w:color w:val="000000" w:themeColor="text1"/>
        </w:rPr>
      </w:pPr>
      <w:r>
        <w:rPr>
          <w:color w:val="000000" w:themeColor="text1"/>
        </w:rPr>
        <w:t>PCR pozitif ve transplant adayı değil ise klinik çalışmalara yönlendirilmelidir.</w:t>
      </w:r>
    </w:p>
    <w:p w14:paraId="023FFD70" w14:textId="77777777" w:rsidR="0000512A" w:rsidRDefault="0000512A" w:rsidP="00657E2C">
      <w:pPr>
        <w:rPr>
          <w:color w:val="000000" w:themeColor="text1"/>
        </w:rPr>
      </w:pPr>
    </w:p>
    <w:p w14:paraId="35F7A76C" w14:textId="72563FF3" w:rsidR="00197804" w:rsidRDefault="00197804" w:rsidP="00657E2C">
      <w:pPr>
        <w:rPr>
          <w:color w:val="000000" w:themeColor="text1"/>
        </w:rPr>
      </w:pPr>
      <w:r w:rsidRPr="00197804">
        <w:rPr>
          <w:b/>
          <w:color w:val="000000" w:themeColor="text1"/>
        </w:rPr>
        <w:t>6 aydan sonra olan nüksler geç nüks</w:t>
      </w:r>
      <w:r>
        <w:rPr>
          <w:color w:val="000000" w:themeColor="text1"/>
        </w:rPr>
        <w:t xml:space="preserve"> olup aynı indüksiyon tedavisi kullanılabilir. Ancak ülkemizde ilk sırada ATO indikasyon dahilinde olmadığı için ilk indüksiyondaki antrasiklin temelli rejimler yerine ATO seçilmelidir.</w:t>
      </w:r>
    </w:p>
    <w:p w14:paraId="583B6F46" w14:textId="3F54F9B6" w:rsidR="00B13995" w:rsidRDefault="00B13995" w:rsidP="00657E2C">
      <w:pPr>
        <w:rPr>
          <w:color w:val="000000" w:themeColor="text1"/>
        </w:rPr>
      </w:pPr>
      <w:r>
        <w:rPr>
          <w:color w:val="000000" w:themeColor="text1"/>
        </w:rPr>
        <w:t>Remisyon elde edilmese de ATO sonrası allojenik kök hücre nakline yönlendirilebilir.</w:t>
      </w:r>
    </w:p>
    <w:p w14:paraId="467ECF38" w14:textId="46574284" w:rsidR="00311525" w:rsidRPr="00DE4415" w:rsidRDefault="0021453A" w:rsidP="00E66C2B">
      <w:pPr>
        <w:rPr>
          <w:color w:val="000000" w:themeColor="text1"/>
        </w:rPr>
      </w:pPr>
      <w:r>
        <w:rPr>
          <w:color w:val="000000" w:themeColor="text1"/>
        </w:rPr>
        <w:t>Moleküler kontrol yanlış pozitifliklerden kaçınmak için ATO dan 2-3 hafta sonra yapılmalı</w:t>
      </w:r>
    </w:p>
    <w:p w14:paraId="09E07BFA" w14:textId="77777777" w:rsidR="00311525" w:rsidRPr="00DE4415" w:rsidRDefault="00311525" w:rsidP="00E66C2B">
      <w:pPr>
        <w:rPr>
          <w:color w:val="000000" w:themeColor="text1"/>
        </w:rPr>
      </w:pPr>
    </w:p>
    <w:p w14:paraId="0400D721" w14:textId="77777777" w:rsidR="00311525" w:rsidRPr="00DE4415" w:rsidRDefault="00311525" w:rsidP="00E66C2B">
      <w:pPr>
        <w:rPr>
          <w:color w:val="000000" w:themeColor="text1"/>
        </w:rPr>
      </w:pPr>
    </w:p>
    <w:p w14:paraId="1817A47E" w14:textId="3C9C30C9" w:rsidR="00E66C2B" w:rsidRDefault="00EB51A0" w:rsidP="00E66C2B">
      <w:pPr>
        <w:rPr>
          <w:b/>
          <w:color w:val="000000" w:themeColor="text1"/>
        </w:rPr>
      </w:pPr>
      <w:r w:rsidRPr="00791B4D">
        <w:rPr>
          <w:b/>
          <w:color w:val="000000" w:themeColor="text1"/>
        </w:rPr>
        <w:t>AKUT LENFOBLASTİK LÖSEMİ</w:t>
      </w:r>
    </w:p>
    <w:p w14:paraId="0C7B022C" w14:textId="77777777" w:rsidR="00791B4D" w:rsidRPr="00791B4D" w:rsidRDefault="00791B4D" w:rsidP="00E66C2B">
      <w:pPr>
        <w:rPr>
          <w:b/>
          <w:color w:val="000000" w:themeColor="text1"/>
        </w:rPr>
      </w:pPr>
    </w:p>
    <w:p w14:paraId="577C8C5F" w14:textId="77777777" w:rsidR="00963DF2" w:rsidRDefault="00ED5855" w:rsidP="00963DF2">
      <w:pPr>
        <w:ind w:firstLine="708"/>
        <w:rPr>
          <w:color w:val="000000" w:themeColor="text1"/>
        </w:rPr>
      </w:pPr>
      <w:r>
        <w:rPr>
          <w:color w:val="000000" w:themeColor="text1"/>
        </w:rPr>
        <w:t xml:space="preserve">Akut lenfoblastik lösemi </w:t>
      </w:r>
      <w:r w:rsidR="005F72CB">
        <w:rPr>
          <w:color w:val="000000" w:themeColor="text1"/>
        </w:rPr>
        <w:t xml:space="preserve">lenfoid blastların kan, kemik iliği ve diğer organlarda ekspansiyonu ile oluşan saldırgan </w:t>
      </w:r>
      <w:r>
        <w:rPr>
          <w:color w:val="000000" w:themeColor="text1"/>
        </w:rPr>
        <w:t xml:space="preserve">heterojen bir hastalıktır. </w:t>
      </w:r>
      <w:r w:rsidR="005F72CB">
        <w:rPr>
          <w:color w:val="000000" w:themeColor="text1"/>
        </w:rPr>
        <w:t xml:space="preserve">Bimodal dağılım gösterir. İlk pikini 4-5 yaşlarında ikinci pikini 50 yaşlarında yapar. </w:t>
      </w:r>
      <w:r>
        <w:rPr>
          <w:color w:val="000000" w:themeColor="text1"/>
        </w:rPr>
        <w:t>Çocuklarda sık görülen bir lösemi olup</w:t>
      </w:r>
      <w:r w:rsidR="00F164F7">
        <w:rPr>
          <w:color w:val="000000" w:themeColor="text1"/>
        </w:rPr>
        <w:t xml:space="preserve"> (çocukluk çağı lösemilerinin %80’ini, erişkin çağı lösemilerinin %20’sini oluşturur)</w:t>
      </w:r>
      <w:r>
        <w:rPr>
          <w:color w:val="000000" w:themeColor="text1"/>
        </w:rPr>
        <w:t xml:space="preserve">, erişkin yaş grubunda insidansı 1-2/100.000 arası değişmektedir. </w:t>
      </w:r>
      <w:r w:rsidR="00FA2949">
        <w:rPr>
          <w:color w:val="000000" w:themeColor="text1"/>
        </w:rPr>
        <w:t xml:space="preserve">Erkek kadın oranı: 1.4/1’dir. </w:t>
      </w:r>
    </w:p>
    <w:p w14:paraId="1E011F9C" w14:textId="6021F067" w:rsidR="00963DF2" w:rsidRDefault="00963DF2" w:rsidP="00963DF2">
      <w:pPr>
        <w:ind w:firstLine="708"/>
        <w:rPr>
          <w:color w:val="000000" w:themeColor="text1"/>
        </w:rPr>
      </w:pPr>
      <w:r>
        <w:rPr>
          <w:color w:val="000000" w:themeColor="text1"/>
        </w:rPr>
        <w:t xml:space="preserve">ALL etiyolojisi tam olarak bilinmemektedir. Olguların %5’ten azında genetik sendromlar etyolojide rol oynamaktadır (Down Sendromu, Klinefelter Sendromu, Fankoni Anemisi, Bloom Sendromu, Ataksia-Telenjieltazi ve Nijmegen Kırılma Sendromu). Diğer risk faktörleri arasında artan yaş (&gt;70 yaş) ve radyasyon maruziyeti yatabilir. EBV virüsü ile olgun B-hücre ALL, insan T-lenfotropik virüs tip 1 ile erişkin T-hücre lösemi/lenfoma, ve HIV ile lenfoproliferatif hastalıklar arasında ilişki bulunmuştur. </w:t>
      </w:r>
    </w:p>
    <w:p w14:paraId="35F96B75" w14:textId="2C2661A4" w:rsidR="00EB51A0" w:rsidRDefault="00ED5855" w:rsidP="00963DF2">
      <w:pPr>
        <w:ind w:firstLine="708"/>
        <w:rPr>
          <w:color w:val="000000" w:themeColor="text1"/>
        </w:rPr>
      </w:pPr>
      <w:r>
        <w:rPr>
          <w:color w:val="000000" w:themeColor="text1"/>
        </w:rPr>
        <w:t xml:space="preserve">Kür oranları çocuklarda %80’lerde </w:t>
      </w:r>
      <w:r w:rsidR="00985F57">
        <w:rPr>
          <w:color w:val="000000" w:themeColor="text1"/>
        </w:rPr>
        <w:t>iken erişkinlerde bu oran %</w:t>
      </w:r>
      <w:r w:rsidR="00D23AE3">
        <w:rPr>
          <w:color w:val="000000" w:themeColor="text1"/>
        </w:rPr>
        <w:t>35-</w:t>
      </w:r>
      <w:r w:rsidR="00985F57">
        <w:rPr>
          <w:color w:val="000000" w:themeColor="text1"/>
        </w:rPr>
        <w:t>40</w:t>
      </w:r>
      <w:r>
        <w:rPr>
          <w:color w:val="000000" w:themeColor="text1"/>
        </w:rPr>
        <w:t xml:space="preserve"> civarlarındadır. Ancak son yıllarda çocukluk çağı protokollerinin erişkin yaş grubunda uygulanmaya başlaması ile kür oranları %</w:t>
      </w:r>
      <w:r w:rsidR="00985F57">
        <w:rPr>
          <w:color w:val="000000" w:themeColor="text1"/>
        </w:rPr>
        <w:t>50-</w:t>
      </w:r>
      <w:r>
        <w:rPr>
          <w:color w:val="000000" w:themeColor="text1"/>
        </w:rPr>
        <w:t>60’lara ulaşmıştır. Minimal toksisite ile kür oranlarını arttırabilmek için öncelikle prognostik grupların iyi belirlenmesi gerekir.</w:t>
      </w:r>
    </w:p>
    <w:p w14:paraId="32F718DA" w14:textId="7E7364F4" w:rsidR="00ED5855" w:rsidRDefault="00ED5855" w:rsidP="00E66C2B">
      <w:pPr>
        <w:rPr>
          <w:color w:val="000000" w:themeColor="text1"/>
        </w:rPr>
      </w:pPr>
      <w:r>
        <w:rPr>
          <w:color w:val="000000" w:themeColor="text1"/>
        </w:rPr>
        <w:t xml:space="preserve">Minimal kalıntı hastalığın </w:t>
      </w:r>
      <w:r w:rsidR="00E51E1F">
        <w:rPr>
          <w:color w:val="000000" w:themeColor="text1"/>
        </w:rPr>
        <w:t xml:space="preserve">(MKH) </w:t>
      </w:r>
      <w:r>
        <w:rPr>
          <w:color w:val="000000" w:themeColor="text1"/>
        </w:rPr>
        <w:t>izlemi pediyatrik protokollerin önemli bir parçasını oluştururken, erişkinlerde henüz sta</w:t>
      </w:r>
      <w:r w:rsidR="00E51E1F">
        <w:rPr>
          <w:color w:val="000000" w:themeColor="text1"/>
        </w:rPr>
        <w:t>n</w:t>
      </w:r>
      <w:r>
        <w:rPr>
          <w:color w:val="000000" w:themeColor="text1"/>
        </w:rPr>
        <w:t>dardizasyonun sağlanama</w:t>
      </w:r>
      <w:r w:rsidR="00E51E1F">
        <w:rPr>
          <w:color w:val="000000" w:themeColor="text1"/>
        </w:rPr>
        <w:t xml:space="preserve">ması nedeni ile MKH hedefli tedavi yönlendirme henüz yapılamamaktadır. </w:t>
      </w:r>
    </w:p>
    <w:p w14:paraId="443E0709" w14:textId="15D77F26" w:rsidR="002A58CB" w:rsidRDefault="002A58CB" w:rsidP="00E66C2B">
      <w:pPr>
        <w:rPr>
          <w:color w:val="000000" w:themeColor="text1"/>
        </w:rPr>
      </w:pPr>
      <w:r>
        <w:rPr>
          <w:color w:val="000000" w:themeColor="text1"/>
        </w:rPr>
        <w:t>Tedavi uzun soluklu bir tedavi olup genellikle indüksiyon, yoğunlaştırıcı, pekiştirici tedavi basamaklarından ve ardından olan en az 1.5-2 yıllık idame tedavilerinden oluşmaktadır.</w:t>
      </w:r>
    </w:p>
    <w:p w14:paraId="1FA45591" w14:textId="086C77D6" w:rsidR="00E51E1F" w:rsidRDefault="002A58CB" w:rsidP="00E66C2B">
      <w:pPr>
        <w:rPr>
          <w:color w:val="000000" w:themeColor="text1"/>
        </w:rPr>
      </w:pPr>
      <w:r>
        <w:rPr>
          <w:color w:val="000000" w:themeColor="text1"/>
        </w:rPr>
        <w:t>ALL’de en iyi indüksiyon tedavisi merkezlerin en iyi yönetebildiği tedavidir.</w:t>
      </w:r>
    </w:p>
    <w:p w14:paraId="5E9B2216" w14:textId="77777777" w:rsidR="00963DF2" w:rsidRDefault="00963DF2" w:rsidP="00E66C2B">
      <w:pPr>
        <w:rPr>
          <w:color w:val="000000" w:themeColor="text1"/>
        </w:rPr>
      </w:pPr>
    </w:p>
    <w:p w14:paraId="07359300" w14:textId="40678662" w:rsidR="002A58CB" w:rsidRPr="00DD42B8" w:rsidRDefault="00963DF2" w:rsidP="00E66C2B">
      <w:pPr>
        <w:rPr>
          <w:b/>
          <w:color w:val="000000" w:themeColor="text1"/>
        </w:rPr>
      </w:pPr>
      <w:r w:rsidRPr="00DD42B8">
        <w:rPr>
          <w:b/>
          <w:color w:val="000000" w:themeColor="text1"/>
        </w:rPr>
        <w:t>Klinik ve laboratuar anomaliler:</w:t>
      </w:r>
    </w:p>
    <w:p w14:paraId="00778096" w14:textId="58453252" w:rsidR="00963DF2" w:rsidRDefault="00963DF2" w:rsidP="00963DF2">
      <w:pPr>
        <w:pStyle w:val="ListeParagraf"/>
        <w:numPr>
          <w:ilvl w:val="0"/>
          <w:numId w:val="7"/>
        </w:numPr>
        <w:rPr>
          <w:color w:val="000000" w:themeColor="text1"/>
        </w:rPr>
      </w:pPr>
      <w:r>
        <w:rPr>
          <w:color w:val="000000" w:themeColor="text1"/>
        </w:rPr>
        <w:t>Hastalar non-spesifik semptom ve bulgular ile başvurabilir (ateş, gece terlemesi, kilo kaybı)</w:t>
      </w:r>
    </w:p>
    <w:p w14:paraId="7C6F6366" w14:textId="60BCAAE6" w:rsidR="00963DF2" w:rsidRDefault="00963DF2" w:rsidP="00963DF2">
      <w:pPr>
        <w:pStyle w:val="ListeParagraf"/>
        <w:numPr>
          <w:ilvl w:val="0"/>
          <w:numId w:val="7"/>
        </w:numPr>
        <w:rPr>
          <w:color w:val="000000" w:themeColor="text1"/>
        </w:rPr>
      </w:pPr>
      <w:r>
        <w:rPr>
          <w:color w:val="000000" w:themeColor="text1"/>
        </w:rPr>
        <w:t>Enfeksiyon, kolay morarma/kanama, dispne, halsizlik</w:t>
      </w:r>
    </w:p>
    <w:p w14:paraId="71A84DC6" w14:textId="0B3CEF24" w:rsidR="00963DF2" w:rsidRDefault="00DD42B8" w:rsidP="00963DF2">
      <w:pPr>
        <w:pStyle w:val="ListeParagraf"/>
        <w:numPr>
          <w:ilvl w:val="0"/>
          <w:numId w:val="7"/>
        </w:numPr>
        <w:rPr>
          <w:color w:val="000000" w:themeColor="text1"/>
        </w:rPr>
      </w:pPr>
      <w:r>
        <w:rPr>
          <w:color w:val="000000" w:themeColor="text1"/>
        </w:rPr>
        <w:t>Fizik muayenede solukluk, peteşi, purpura, ekimozlar olabilir.</w:t>
      </w:r>
    </w:p>
    <w:p w14:paraId="4F8A6476" w14:textId="3FFE70DC" w:rsidR="00DD42B8" w:rsidRDefault="00DD42B8" w:rsidP="00963DF2">
      <w:pPr>
        <w:pStyle w:val="ListeParagraf"/>
        <w:numPr>
          <w:ilvl w:val="0"/>
          <w:numId w:val="7"/>
        </w:numPr>
        <w:rPr>
          <w:color w:val="000000" w:themeColor="text1"/>
        </w:rPr>
      </w:pPr>
      <w:r>
        <w:rPr>
          <w:color w:val="000000" w:themeColor="text1"/>
        </w:rPr>
        <w:t>Olguların %20’sinde dalakta ve/veya karaciğerde infiktrasyon olabilir (hepatomegali/splenomegali)</w:t>
      </w:r>
    </w:p>
    <w:p w14:paraId="1556DA39" w14:textId="30D98E8C" w:rsidR="00DD42B8" w:rsidRDefault="00DD42B8" w:rsidP="00963DF2">
      <w:pPr>
        <w:pStyle w:val="ListeParagraf"/>
        <w:numPr>
          <w:ilvl w:val="0"/>
          <w:numId w:val="7"/>
        </w:numPr>
        <w:rPr>
          <w:color w:val="000000" w:themeColor="text1"/>
        </w:rPr>
      </w:pPr>
      <w:r>
        <w:rPr>
          <w:color w:val="000000" w:themeColor="text1"/>
        </w:rPr>
        <w:t>Diğer ekstramedüller tutulum alanları testis, cilt veya mediastinum (özellikle T-hücreli ALL’de) olabilir.</w:t>
      </w:r>
    </w:p>
    <w:p w14:paraId="7F386076" w14:textId="775C76CF" w:rsidR="00DD42B8" w:rsidRDefault="00DD42B8" w:rsidP="00963DF2">
      <w:pPr>
        <w:pStyle w:val="ListeParagraf"/>
        <w:numPr>
          <w:ilvl w:val="0"/>
          <w:numId w:val="7"/>
        </w:numPr>
        <w:rPr>
          <w:color w:val="000000" w:themeColor="text1"/>
        </w:rPr>
      </w:pPr>
      <w:r>
        <w:rPr>
          <w:color w:val="000000" w:themeColor="text1"/>
        </w:rPr>
        <w:t>Olgun B-hücreli ALL (Burkitt Lösemi) abdominal kitle veya yüksek hastalık yüküne bağlı tümör lizis  ile başvurabilir.</w:t>
      </w:r>
    </w:p>
    <w:p w14:paraId="6EF2E588" w14:textId="6693100C" w:rsidR="00DD42B8" w:rsidRDefault="00DD42B8" w:rsidP="00963DF2">
      <w:pPr>
        <w:pStyle w:val="ListeParagraf"/>
        <w:numPr>
          <w:ilvl w:val="0"/>
          <w:numId w:val="7"/>
        </w:numPr>
        <w:rPr>
          <w:color w:val="000000" w:themeColor="text1"/>
        </w:rPr>
      </w:pPr>
      <w:r>
        <w:rPr>
          <w:color w:val="000000" w:themeColor="text1"/>
        </w:rPr>
        <w:t>%8 olguda tanı anında SSS tutulumu (kraniyal nöropatiler ve meninjeal infiltrasyon) olabilir.</w:t>
      </w:r>
    </w:p>
    <w:p w14:paraId="5C849D4A" w14:textId="32DB9957" w:rsidR="00DD42B8" w:rsidRPr="00963DF2" w:rsidRDefault="00DD42B8" w:rsidP="00963DF2">
      <w:pPr>
        <w:pStyle w:val="ListeParagraf"/>
        <w:numPr>
          <w:ilvl w:val="0"/>
          <w:numId w:val="7"/>
        </w:numPr>
        <w:rPr>
          <w:color w:val="000000" w:themeColor="text1"/>
        </w:rPr>
      </w:pPr>
      <w:r>
        <w:rPr>
          <w:color w:val="000000" w:themeColor="text1"/>
        </w:rPr>
        <w:t>Burkitt-benzeri ALL olguları kraniyal sinir tutulumuna ikincil çenede uyuşukluk tarifleyebilirler.</w:t>
      </w:r>
    </w:p>
    <w:p w14:paraId="11107BBC" w14:textId="77777777" w:rsidR="00963DF2" w:rsidRDefault="00963DF2" w:rsidP="00E66C2B">
      <w:pPr>
        <w:rPr>
          <w:color w:val="000000" w:themeColor="text1"/>
        </w:rPr>
      </w:pPr>
    </w:p>
    <w:p w14:paraId="2D551156" w14:textId="10242B52" w:rsidR="002A58CB" w:rsidRPr="00DD42B8" w:rsidRDefault="00B5340E" w:rsidP="00E66C2B">
      <w:pPr>
        <w:rPr>
          <w:b/>
          <w:color w:val="000000" w:themeColor="text1"/>
        </w:rPr>
      </w:pPr>
      <w:r w:rsidRPr="00DD42B8">
        <w:rPr>
          <w:b/>
          <w:color w:val="000000" w:themeColor="text1"/>
        </w:rPr>
        <w:t>Tanıda:</w:t>
      </w:r>
    </w:p>
    <w:p w14:paraId="17D9E63B" w14:textId="502D8D20" w:rsidR="00FA2949" w:rsidRDefault="00FA2949" w:rsidP="00FA2949">
      <w:pPr>
        <w:pStyle w:val="ListeParagraf"/>
        <w:numPr>
          <w:ilvl w:val="0"/>
          <w:numId w:val="24"/>
        </w:numPr>
        <w:rPr>
          <w:color w:val="000000" w:themeColor="text1"/>
        </w:rPr>
      </w:pPr>
      <w:r>
        <w:rPr>
          <w:color w:val="000000" w:themeColor="text1"/>
        </w:rPr>
        <w:t>Aile öyküsü dahil ayrıntılı bir öykü alınmalı, fizik muayene yapılmalı.</w:t>
      </w:r>
    </w:p>
    <w:p w14:paraId="72DAD515" w14:textId="4E59F732" w:rsidR="00FA2949" w:rsidRDefault="00FA2949" w:rsidP="00FA2949">
      <w:pPr>
        <w:pStyle w:val="ListeParagraf"/>
        <w:numPr>
          <w:ilvl w:val="0"/>
          <w:numId w:val="24"/>
        </w:numPr>
        <w:rPr>
          <w:color w:val="000000" w:themeColor="text1"/>
        </w:rPr>
      </w:pPr>
      <w:r>
        <w:rPr>
          <w:color w:val="000000" w:themeColor="text1"/>
        </w:rPr>
        <w:t>Hemogram, kapsamlı metabolik profil, karaciğer fonksiyon testleri, renal fonksiyon testleri, LDH, ürik asit</w:t>
      </w:r>
      <w:r w:rsidR="000F48BB">
        <w:rPr>
          <w:color w:val="000000" w:themeColor="text1"/>
        </w:rPr>
        <w:t>, Hepatit B/C,HIV gönderilmeli</w:t>
      </w:r>
    </w:p>
    <w:p w14:paraId="572749CC" w14:textId="2E092FD9" w:rsidR="00FA2949" w:rsidRDefault="00FA2949" w:rsidP="00FA2949">
      <w:pPr>
        <w:pStyle w:val="ListeParagraf"/>
        <w:numPr>
          <w:ilvl w:val="0"/>
          <w:numId w:val="24"/>
        </w:numPr>
        <w:rPr>
          <w:color w:val="000000" w:themeColor="text1"/>
        </w:rPr>
      </w:pPr>
      <w:r>
        <w:rPr>
          <w:color w:val="000000" w:themeColor="text1"/>
        </w:rPr>
        <w:t>Koagulasyon profili</w:t>
      </w:r>
      <w:r w:rsidR="000F48BB">
        <w:rPr>
          <w:color w:val="000000" w:themeColor="text1"/>
        </w:rPr>
        <w:t xml:space="preserve"> istenmeli</w:t>
      </w:r>
    </w:p>
    <w:p w14:paraId="6C6D0943" w14:textId="3439A843" w:rsidR="000F48BB" w:rsidRDefault="000F48BB" w:rsidP="00FA2949">
      <w:pPr>
        <w:pStyle w:val="ListeParagraf"/>
        <w:numPr>
          <w:ilvl w:val="0"/>
          <w:numId w:val="24"/>
        </w:numPr>
        <w:rPr>
          <w:color w:val="000000" w:themeColor="text1"/>
        </w:rPr>
      </w:pPr>
      <w:r>
        <w:rPr>
          <w:color w:val="000000" w:themeColor="text1"/>
        </w:rPr>
        <w:t>Nörolojik bulgular var ise beyin BT/MRI görülmeli</w:t>
      </w:r>
    </w:p>
    <w:p w14:paraId="317D6FE0" w14:textId="22F8DB8C" w:rsidR="000F48BB" w:rsidRPr="00FA2949" w:rsidRDefault="000F48BB" w:rsidP="00FA2949">
      <w:pPr>
        <w:pStyle w:val="ListeParagraf"/>
        <w:numPr>
          <w:ilvl w:val="0"/>
          <w:numId w:val="24"/>
        </w:numPr>
        <w:rPr>
          <w:color w:val="000000" w:themeColor="text1"/>
        </w:rPr>
      </w:pPr>
      <w:r>
        <w:rPr>
          <w:color w:val="000000" w:themeColor="text1"/>
        </w:rPr>
        <w:t xml:space="preserve">İT kemoterapi ile birlikte LP </w:t>
      </w:r>
    </w:p>
    <w:p w14:paraId="4CC72D5D" w14:textId="42FC214A" w:rsidR="00B5340E" w:rsidRDefault="00B5340E" w:rsidP="00B5340E">
      <w:pPr>
        <w:pStyle w:val="ListeParagraf"/>
        <w:numPr>
          <w:ilvl w:val="0"/>
          <w:numId w:val="24"/>
        </w:numPr>
        <w:rPr>
          <w:color w:val="000000" w:themeColor="text1"/>
        </w:rPr>
      </w:pPr>
      <w:r>
        <w:rPr>
          <w:color w:val="000000" w:themeColor="text1"/>
        </w:rPr>
        <w:lastRenderedPageBreak/>
        <w:t>Kemik iliği aspirasyon materyalinden morfolojik değerlendirme, sitogenetik+/-FISH değerlendirme ve moleküler değerlendirme yapılmalı</w:t>
      </w:r>
    </w:p>
    <w:p w14:paraId="3D641165" w14:textId="7FB661AC" w:rsidR="00B5340E" w:rsidRDefault="00D920CB" w:rsidP="00D920CB">
      <w:pPr>
        <w:pStyle w:val="ListeParagraf"/>
        <w:numPr>
          <w:ilvl w:val="0"/>
          <w:numId w:val="25"/>
        </w:numPr>
        <w:rPr>
          <w:color w:val="000000" w:themeColor="text1"/>
        </w:rPr>
      </w:pPr>
      <w:r>
        <w:rPr>
          <w:color w:val="000000" w:themeColor="text1"/>
        </w:rPr>
        <w:t>B-ALL için PCR ile bcr-abl veya sitogenetik/FISH ile t(9;22) ilk 1 hafta içinde elde edilmeye çalışılmalıdır. Çünkü indüksiyon tedavisini etkileyecektir.</w:t>
      </w:r>
    </w:p>
    <w:p w14:paraId="026F37A5" w14:textId="46FC1A80" w:rsidR="00D920CB" w:rsidRDefault="00D920CB" w:rsidP="00D920CB">
      <w:pPr>
        <w:pStyle w:val="ListeParagraf"/>
        <w:numPr>
          <w:ilvl w:val="0"/>
          <w:numId w:val="24"/>
        </w:numPr>
        <w:rPr>
          <w:color w:val="000000" w:themeColor="text1"/>
        </w:rPr>
      </w:pPr>
      <w:r>
        <w:rPr>
          <w:color w:val="000000" w:themeColor="text1"/>
        </w:rPr>
        <w:t>Kemik iliği aspirasyonundan yeterli materyal elde edilemez ise Kİ biyopsisi yapılmalı, immünfenotipleme, sitogenetik ve moleküler çalışmalar için periferik kan kullanılmalıdır.</w:t>
      </w:r>
    </w:p>
    <w:p w14:paraId="69D275EF" w14:textId="5DBF52F1" w:rsidR="007D51F8" w:rsidRDefault="007D51F8" w:rsidP="00D920CB">
      <w:pPr>
        <w:pStyle w:val="ListeParagraf"/>
        <w:numPr>
          <w:ilvl w:val="0"/>
          <w:numId w:val="24"/>
        </w:numPr>
        <w:rPr>
          <w:color w:val="000000" w:themeColor="text1"/>
        </w:rPr>
      </w:pPr>
      <w:r>
        <w:rPr>
          <w:color w:val="000000" w:themeColor="text1"/>
        </w:rPr>
        <w:t xml:space="preserve">Tanı için kemik iliği aspirasyon ve biyopsi materyallerinde %20 blast varlığının gösterilmesi gereklidir. WHO 2008 sınıflamasında  ALL ve lenfoblastik lenfoma aynı </w:t>
      </w:r>
      <w:r w:rsidR="001B3543">
        <w:rPr>
          <w:color w:val="000000" w:themeColor="text1"/>
        </w:rPr>
        <w:t xml:space="preserve">hastalık olarak tanımlanmıştır. Hastalık nodal ya da ekstranodal bölgelere sınırlı ise periferik kan ve kemik iliği aspirasyon materyallerinde blast yüzdesi az (&lt;%20) ise </w:t>
      </w:r>
      <w:r w:rsidR="00AA4A58">
        <w:rPr>
          <w:color w:val="000000" w:themeColor="text1"/>
        </w:rPr>
        <w:t>olgu lenfoblastik lenfoma olarak tanımlanmalıdır.</w:t>
      </w:r>
    </w:p>
    <w:p w14:paraId="0213A70C" w14:textId="792617BC" w:rsidR="00D920CB" w:rsidRDefault="00D920CB" w:rsidP="00D920CB">
      <w:pPr>
        <w:pStyle w:val="ListeParagraf"/>
        <w:numPr>
          <w:ilvl w:val="0"/>
          <w:numId w:val="24"/>
        </w:numPr>
        <w:rPr>
          <w:color w:val="000000" w:themeColor="text1"/>
        </w:rPr>
      </w:pPr>
      <w:r>
        <w:rPr>
          <w:color w:val="000000" w:themeColor="text1"/>
        </w:rPr>
        <w:t>Antrasiklin temelli tedaviler tercih edilecek ise EKG/EKO mutlaka yapılmalıdır.</w:t>
      </w:r>
    </w:p>
    <w:p w14:paraId="5091819C" w14:textId="45696DE0" w:rsidR="00D920CB" w:rsidRDefault="00D920CB" w:rsidP="00D920CB">
      <w:pPr>
        <w:pStyle w:val="ListeParagraf"/>
        <w:numPr>
          <w:ilvl w:val="0"/>
          <w:numId w:val="24"/>
        </w:numPr>
        <w:rPr>
          <w:color w:val="000000" w:themeColor="text1"/>
        </w:rPr>
      </w:pPr>
      <w:r>
        <w:rPr>
          <w:color w:val="000000" w:themeColor="text1"/>
        </w:rPr>
        <w:t>Transplanta uygun hastalar için HLA taraması başlatılmalıdır (hastadan transfüzyon yapılmadan HLA için örnek ayrılmalıdır).</w:t>
      </w:r>
    </w:p>
    <w:p w14:paraId="6507D37C" w14:textId="2B432450" w:rsidR="00FA2949" w:rsidRDefault="00FA2949" w:rsidP="00D920CB">
      <w:pPr>
        <w:pStyle w:val="ListeParagraf"/>
        <w:numPr>
          <w:ilvl w:val="0"/>
          <w:numId w:val="24"/>
        </w:numPr>
        <w:rPr>
          <w:color w:val="000000" w:themeColor="text1"/>
        </w:rPr>
      </w:pPr>
      <w:r>
        <w:rPr>
          <w:color w:val="000000" w:themeColor="text1"/>
        </w:rPr>
        <w:t>PA AC grafisi veya toraks BT</w:t>
      </w:r>
    </w:p>
    <w:p w14:paraId="78493354" w14:textId="3696CDAA" w:rsidR="00FA2949" w:rsidRDefault="00FA2949" w:rsidP="00D920CB">
      <w:pPr>
        <w:pStyle w:val="ListeParagraf"/>
        <w:numPr>
          <w:ilvl w:val="0"/>
          <w:numId w:val="24"/>
        </w:numPr>
        <w:rPr>
          <w:color w:val="000000" w:themeColor="text1"/>
        </w:rPr>
      </w:pPr>
      <w:r>
        <w:rPr>
          <w:color w:val="000000" w:themeColor="text1"/>
        </w:rPr>
        <w:t>Lomber ponksiyon</w:t>
      </w:r>
      <w:r w:rsidR="00C6694F">
        <w:rPr>
          <w:color w:val="000000" w:themeColor="text1"/>
        </w:rPr>
        <w:t xml:space="preserve"> (Tanısal LP sırasında yeterli örnek elde edildikten sonra intratekal kemoterapi uygulanmalıdır.)</w:t>
      </w:r>
    </w:p>
    <w:p w14:paraId="2D96778C" w14:textId="23A651B2" w:rsidR="00DD42B8" w:rsidRDefault="00DD42B8" w:rsidP="00D920CB">
      <w:pPr>
        <w:pStyle w:val="ListeParagraf"/>
        <w:numPr>
          <w:ilvl w:val="0"/>
          <w:numId w:val="24"/>
        </w:numPr>
        <w:rPr>
          <w:color w:val="000000" w:themeColor="text1"/>
        </w:rPr>
      </w:pPr>
      <w:r>
        <w:rPr>
          <w:color w:val="000000" w:themeColor="text1"/>
        </w:rPr>
        <w:t>Fizik muayenede testiste ele gelen kitle durumunda skrotal USG yapılmalıdır.</w:t>
      </w:r>
    </w:p>
    <w:p w14:paraId="007500A4" w14:textId="3E98E365" w:rsidR="00DD42B8" w:rsidRDefault="00DD42B8" w:rsidP="00D920CB">
      <w:pPr>
        <w:pStyle w:val="ListeParagraf"/>
        <w:numPr>
          <w:ilvl w:val="0"/>
          <w:numId w:val="24"/>
        </w:numPr>
        <w:rPr>
          <w:color w:val="000000" w:themeColor="text1"/>
        </w:rPr>
      </w:pPr>
      <w:r>
        <w:rPr>
          <w:color w:val="000000" w:themeColor="text1"/>
        </w:rPr>
        <w:t>Kriyoprezervasyon: Sterilite riski nedeni ile hastanın durumu uygun ise (tedavide gecikme yaşanmayacak ise) ovum ya da sperm kriyoprezervasyonu yapılabilir.</w:t>
      </w:r>
    </w:p>
    <w:p w14:paraId="4DD58C14" w14:textId="77777777" w:rsidR="00CA406D" w:rsidRDefault="00CA406D" w:rsidP="00CA406D">
      <w:pPr>
        <w:rPr>
          <w:color w:val="000000" w:themeColor="text1"/>
        </w:rPr>
      </w:pPr>
    </w:p>
    <w:p w14:paraId="5B0E6273" w14:textId="77777777" w:rsidR="00CA406D" w:rsidRDefault="00CA406D" w:rsidP="00CA406D">
      <w:pPr>
        <w:rPr>
          <w:color w:val="000000" w:themeColor="text1"/>
        </w:rPr>
      </w:pPr>
    </w:p>
    <w:p w14:paraId="51E3ADE4" w14:textId="77777777" w:rsidR="00CA406D" w:rsidRDefault="00CA406D" w:rsidP="00CA406D">
      <w:pPr>
        <w:rPr>
          <w:color w:val="000000" w:themeColor="text1"/>
        </w:rPr>
      </w:pPr>
    </w:p>
    <w:p w14:paraId="2692F50C" w14:textId="3572039D" w:rsidR="00CA406D" w:rsidRPr="00CA406D" w:rsidRDefault="009F1BD8" w:rsidP="00CA406D">
      <w:pPr>
        <w:rPr>
          <w:color w:val="000000" w:themeColor="text1"/>
        </w:rPr>
      </w:pPr>
      <w:r>
        <w:rPr>
          <w:color w:val="000000" w:themeColor="text1"/>
        </w:rPr>
        <w:t xml:space="preserve">           Tablo1: </w:t>
      </w:r>
    </w:p>
    <w:p w14:paraId="016B6600" w14:textId="77777777" w:rsidR="006157C2" w:rsidRDefault="006157C2" w:rsidP="006157C2">
      <w:pPr>
        <w:pStyle w:val="ListeParagraf"/>
        <w:rPr>
          <w:color w:val="000000" w:themeColor="text1"/>
        </w:rPr>
      </w:pPr>
    </w:p>
    <w:tbl>
      <w:tblPr>
        <w:tblStyle w:val="TabloKlavuzu"/>
        <w:tblW w:w="0" w:type="auto"/>
        <w:tblInd w:w="720" w:type="dxa"/>
        <w:tblLook w:val="04A0" w:firstRow="1" w:lastRow="0" w:firstColumn="1" w:lastColumn="0" w:noHBand="0" w:noVBand="1"/>
      </w:tblPr>
      <w:tblGrid>
        <w:gridCol w:w="8336"/>
      </w:tblGrid>
      <w:tr w:rsidR="006157C2" w14:paraId="1AC8EF85" w14:textId="77777777" w:rsidTr="006157C2">
        <w:tc>
          <w:tcPr>
            <w:tcW w:w="8336" w:type="dxa"/>
          </w:tcPr>
          <w:p w14:paraId="2265144F" w14:textId="7384F28D" w:rsidR="006157C2" w:rsidRPr="006157C2" w:rsidRDefault="006157C2" w:rsidP="006157C2">
            <w:pPr>
              <w:pStyle w:val="ListeParagraf"/>
              <w:ind w:left="0"/>
              <w:rPr>
                <w:b/>
                <w:color w:val="000000" w:themeColor="text1"/>
              </w:rPr>
            </w:pPr>
            <w:r w:rsidRPr="006157C2">
              <w:rPr>
                <w:b/>
                <w:color w:val="000000" w:themeColor="text1"/>
              </w:rPr>
              <w:t>Akut Lenfoblastik Lösemide WHO sınıflaması</w:t>
            </w:r>
            <w:r w:rsidR="000F48BB">
              <w:rPr>
                <w:b/>
                <w:color w:val="000000" w:themeColor="text1"/>
              </w:rPr>
              <w:t xml:space="preserve"> (2016)</w:t>
            </w:r>
          </w:p>
        </w:tc>
      </w:tr>
      <w:tr w:rsidR="006157C2" w14:paraId="02AEB88E" w14:textId="77777777" w:rsidTr="00023420">
        <w:trPr>
          <w:trHeight w:val="4421"/>
        </w:trPr>
        <w:tc>
          <w:tcPr>
            <w:tcW w:w="8336" w:type="dxa"/>
          </w:tcPr>
          <w:p w14:paraId="6CE9CB1C" w14:textId="5499DEDA" w:rsidR="006157C2" w:rsidRDefault="006157C2" w:rsidP="006157C2">
            <w:pPr>
              <w:pStyle w:val="ListeParagraf"/>
              <w:ind w:left="0"/>
              <w:rPr>
                <w:color w:val="000000" w:themeColor="text1"/>
              </w:rPr>
            </w:pPr>
            <w:r>
              <w:rPr>
                <w:color w:val="000000" w:themeColor="text1"/>
              </w:rPr>
              <w:t>B-hücreli lenfoblastik l</w:t>
            </w:r>
            <w:r w:rsidR="00CA406D">
              <w:rPr>
                <w:color w:val="000000" w:themeColor="text1"/>
              </w:rPr>
              <w:t>ösemi/lenfoma, başka türlü tanım</w:t>
            </w:r>
            <w:r>
              <w:rPr>
                <w:color w:val="000000" w:themeColor="text1"/>
              </w:rPr>
              <w:t>lanmamış</w:t>
            </w:r>
          </w:p>
          <w:p w14:paraId="2D7B4007" w14:textId="2E072651" w:rsidR="00CA406D" w:rsidRDefault="006157C2" w:rsidP="006157C2">
            <w:pPr>
              <w:pStyle w:val="ListeParagraf"/>
              <w:ind w:left="0"/>
              <w:rPr>
                <w:color w:val="000000" w:themeColor="text1"/>
              </w:rPr>
            </w:pPr>
            <w:r>
              <w:rPr>
                <w:color w:val="000000" w:themeColor="text1"/>
              </w:rPr>
              <w:t xml:space="preserve">Tekrarlayan genetik anomaliler ile </w:t>
            </w:r>
            <w:r>
              <w:rPr>
                <w:color w:val="000000" w:themeColor="text1"/>
              </w:rPr>
              <w:t>B-hücreli lenfoblastik lösemi/lenfoma</w:t>
            </w:r>
          </w:p>
          <w:p w14:paraId="0AD3F82A" w14:textId="7104F245" w:rsidR="006157C2" w:rsidRDefault="00CA406D" w:rsidP="006157C2">
            <w:pPr>
              <w:pStyle w:val="ListeParagraf"/>
              <w:ind w:left="0"/>
              <w:rPr>
                <w:color w:val="000000" w:themeColor="text1"/>
              </w:rPr>
            </w:pPr>
            <w:r>
              <w:rPr>
                <w:color w:val="000000" w:themeColor="text1"/>
              </w:rPr>
              <w:t xml:space="preserve">      </w:t>
            </w:r>
            <w:r w:rsidR="006157C2">
              <w:rPr>
                <w:color w:val="000000" w:themeColor="text1"/>
              </w:rPr>
              <w:t xml:space="preserve"> Hipodipiodili </w:t>
            </w:r>
            <w:r w:rsidR="006157C2">
              <w:rPr>
                <w:color w:val="000000" w:themeColor="text1"/>
              </w:rPr>
              <w:t>B-hücreli lenfoblastik lösemi/lenfoma</w:t>
            </w:r>
          </w:p>
          <w:p w14:paraId="6A176B0F" w14:textId="77777777" w:rsidR="006157C2" w:rsidRDefault="006157C2" w:rsidP="006157C2">
            <w:pPr>
              <w:pStyle w:val="ListeParagraf"/>
              <w:ind w:left="0"/>
              <w:rPr>
                <w:color w:val="000000" w:themeColor="text1"/>
              </w:rPr>
            </w:pPr>
            <w:r>
              <w:rPr>
                <w:color w:val="000000" w:themeColor="text1"/>
              </w:rPr>
              <w:t xml:space="preserve">       Hiperdiploidili </w:t>
            </w:r>
            <w:r>
              <w:rPr>
                <w:color w:val="000000" w:themeColor="text1"/>
              </w:rPr>
              <w:t>B-hücreli lenfoblastik lösemi/lenfoma</w:t>
            </w:r>
          </w:p>
          <w:p w14:paraId="1C7EC83D" w14:textId="3AD9E85A" w:rsidR="006157C2" w:rsidRDefault="006157C2" w:rsidP="006157C2">
            <w:pPr>
              <w:pStyle w:val="ListeParagraf"/>
              <w:ind w:left="0"/>
              <w:rPr>
                <w:color w:val="000000" w:themeColor="text1"/>
              </w:rPr>
            </w:pPr>
            <w:r>
              <w:rPr>
                <w:color w:val="000000" w:themeColor="text1"/>
              </w:rPr>
              <w:t xml:space="preserve">       t( 9;22)(q34;q11.2) </w:t>
            </w:r>
            <w:r>
              <w:rPr>
                <w:color w:val="000000" w:themeColor="text1"/>
              </w:rPr>
              <w:sym w:font="Symbol" w:char="F05B"/>
            </w:r>
            <w:r>
              <w:rPr>
                <w:color w:val="000000" w:themeColor="text1"/>
              </w:rPr>
              <w:t>BCR-ABL1</w:t>
            </w:r>
            <w:r>
              <w:rPr>
                <w:color w:val="000000" w:themeColor="text1"/>
              </w:rPr>
              <w:sym w:font="Symbol" w:char="F05D"/>
            </w:r>
            <w:r>
              <w:rPr>
                <w:color w:val="000000" w:themeColor="text1"/>
              </w:rPr>
              <w:t xml:space="preserve"> ile </w:t>
            </w:r>
            <w:r>
              <w:rPr>
                <w:color w:val="000000" w:themeColor="text1"/>
              </w:rPr>
              <w:t>B-hücreli lenfoblastik lösemi/lenfoma</w:t>
            </w:r>
          </w:p>
          <w:p w14:paraId="09405D2C" w14:textId="419BCC2A" w:rsidR="006157C2" w:rsidRDefault="006157C2" w:rsidP="006157C2">
            <w:pPr>
              <w:pStyle w:val="ListeParagraf"/>
              <w:ind w:left="0"/>
              <w:rPr>
                <w:color w:val="000000" w:themeColor="text1"/>
              </w:rPr>
            </w:pPr>
            <w:r>
              <w:rPr>
                <w:color w:val="000000" w:themeColor="text1"/>
              </w:rPr>
              <w:t xml:space="preserve">       t(v;11q23) </w:t>
            </w:r>
            <w:r>
              <w:rPr>
                <w:color w:val="000000" w:themeColor="text1"/>
              </w:rPr>
              <w:sym w:font="Symbol" w:char="F05B"/>
            </w:r>
            <w:r>
              <w:rPr>
                <w:color w:val="000000" w:themeColor="text1"/>
              </w:rPr>
              <w:t>MLL yeniden düzenlenmesi</w:t>
            </w:r>
            <w:r>
              <w:rPr>
                <w:color w:val="000000" w:themeColor="text1"/>
              </w:rPr>
              <w:sym w:font="Symbol" w:char="F05D"/>
            </w:r>
            <w:r>
              <w:rPr>
                <w:color w:val="000000" w:themeColor="text1"/>
              </w:rPr>
              <w:t xml:space="preserve"> ile </w:t>
            </w:r>
            <w:r>
              <w:rPr>
                <w:color w:val="000000" w:themeColor="text1"/>
              </w:rPr>
              <w:t>B-hücreli lenfoblastik lösemi/lenfoma</w:t>
            </w:r>
          </w:p>
          <w:p w14:paraId="1FB1EE9C" w14:textId="77777777" w:rsidR="006157C2" w:rsidRDefault="006157C2" w:rsidP="006157C2">
            <w:pPr>
              <w:pStyle w:val="ListeParagraf"/>
              <w:ind w:left="0"/>
              <w:rPr>
                <w:color w:val="000000" w:themeColor="text1"/>
              </w:rPr>
            </w:pPr>
            <w:r>
              <w:rPr>
                <w:color w:val="000000" w:themeColor="text1"/>
              </w:rPr>
              <w:t xml:space="preserve">       t(12;21)(p13;q22) </w:t>
            </w:r>
            <w:r>
              <w:rPr>
                <w:color w:val="000000" w:themeColor="text1"/>
              </w:rPr>
              <w:sym w:font="Symbol" w:char="F05B"/>
            </w:r>
            <w:r>
              <w:rPr>
                <w:color w:val="000000" w:themeColor="text1"/>
              </w:rPr>
              <w:t>ETV6-RUNX1</w:t>
            </w:r>
            <w:r>
              <w:rPr>
                <w:color w:val="000000" w:themeColor="text1"/>
              </w:rPr>
              <w:sym w:font="Symbol" w:char="F05D"/>
            </w:r>
            <w:r>
              <w:rPr>
                <w:color w:val="000000" w:themeColor="text1"/>
              </w:rPr>
              <w:t xml:space="preserve"> ile </w:t>
            </w:r>
            <w:r>
              <w:rPr>
                <w:color w:val="000000" w:themeColor="text1"/>
              </w:rPr>
              <w:t>B-hücreli lenfoblastik lösemi/lenfoma</w:t>
            </w:r>
          </w:p>
          <w:p w14:paraId="051911C4" w14:textId="6FE1BFC3" w:rsidR="006157C2" w:rsidRDefault="006157C2" w:rsidP="006157C2">
            <w:pPr>
              <w:pStyle w:val="ListeParagraf"/>
              <w:ind w:left="0"/>
              <w:rPr>
                <w:color w:val="000000" w:themeColor="text1"/>
              </w:rPr>
            </w:pPr>
            <w:r>
              <w:rPr>
                <w:color w:val="000000" w:themeColor="text1"/>
              </w:rPr>
              <w:t xml:space="preserve">       t(1;19)(q23;p13.3) </w:t>
            </w:r>
            <w:r>
              <w:rPr>
                <w:color w:val="000000" w:themeColor="text1"/>
              </w:rPr>
              <w:sym w:font="Symbol" w:char="F05B"/>
            </w:r>
            <w:r>
              <w:rPr>
                <w:color w:val="000000" w:themeColor="text1"/>
              </w:rPr>
              <w:t>TCF3-PBX1</w:t>
            </w:r>
            <w:r>
              <w:rPr>
                <w:color w:val="000000" w:themeColor="text1"/>
              </w:rPr>
              <w:sym w:font="Symbol" w:char="F05D"/>
            </w:r>
            <w:r>
              <w:rPr>
                <w:color w:val="000000" w:themeColor="text1"/>
              </w:rPr>
              <w:t xml:space="preserve"> ile </w:t>
            </w:r>
            <w:r>
              <w:rPr>
                <w:color w:val="000000" w:themeColor="text1"/>
              </w:rPr>
              <w:t>B-hücreli lenfoblastik lösemi/lenfoma</w:t>
            </w:r>
          </w:p>
          <w:p w14:paraId="3EBBBF29" w14:textId="7B2C5035" w:rsidR="006157C2" w:rsidRDefault="006157C2" w:rsidP="006157C2">
            <w:pPr>
              <w:pStyle w:val="ListeParagraf"/>
              <w:ind w:left="0"/>
              <w:rPr>
                <w:color w:val="000000" w:themeColor="text1"/>
              </w:rPr>
            </w:pPr>
            <w:r>
              <w:rPr>
                <w:color w:val="000000" w:themeColor="text1"/>
              </w:rPr>
              <w:t xml:space="preserve">       t(5;14)(q31;q32) </w:t>
            </w:r>
            <w:r>
              <w:rPr>
                <w:color w:val="000000" w:themeColor="text1"/>
              </w:rPr>
              <w:sym w:font="Symbol" w:char="F05B"/>
            </w:r>
            <w:r>
              <w:rPr>
                <w:color w:val="000000" w:themeColor="text1"/>
              </w:rPr>
              <w:t>IL3-IGH</w:t>
            </w:r>
            <w:r>
              <w:rPr>
                <w:color w:val="000000" w:themeColor="text1"/>
              </w:rPr>
              <w:sym w:font="Symbol" w:char="F05D"/>
            </w:r>
            <w:r>
              <w:rPr>
                <w:color w:val="000000" w:themeColor="text1"/>
              </w:rPr>
              <w:t xml:space="preserve"> ile </w:t>
            </w:r>
            <w:r>
              <w:rPr>
                <w:color w:val="000000" w:themeColor="text1"/>
              </w:rPr>
              <w:t>B-hücreli lenfoblastik lösemi/lenfoma</w:t>
            </w:r>
          </w:p>
          <w:p w14:paraId="27471AB0" w14:textId="126A56EF" w:rsidR="006157C2" w:rsidRPr="00023420" w:rsidRDefault="006157C2" w:rsidP="006157C2">
            <w:pPr>
              <w:pStyle w:val="ListeParagraf"/>
              <w:ind w:left="0"/>
              <w:rPr>
                <w:color w:val="000000" w:themeColor="text1"/>
                <w:vertAlign w:val="superscript"/>
              </w:rPr>
            </w:pPr>
            <w:r>
              <w:rPr>
                <w:color w:val="000000" w:themeColor="text1"/>
              </w:rPr>
              <w:t xml:space="preserve">       Kromozom 21’in intrakromozomal amplifikasyonu ile </w:t>
            </w:r>
            <w:r>
              <w:rPr>
                <w:color w:val="000000" w:themeColor="text1"/>
              </w:rPr>
              <w:t>B-hücreli lenfoblastik lösemi/lenfoma</w:t>
            </w:r>
            <w:r w:rsidR="00023420">
              <w:rPr>
                <w:color w:val="000000" w:themeColor="text1"/>
              </w:rPr>
              <w:t xml:space="preserve"> (iAMP21)</w:t>
            </w:r>
            <w:r w:rsidR="00023420">
              <w:rPr>
                <w:color w:val="000000" w:themeColor="text1"/>
                <w:vertAlign w:val="superscript"/>
              </w:rPr>
              <w:t>a</w:t>
            </w:r>
          </w:p>
          <w:p w14:paraId="29998C79" w14:textId="1495BDE2" w:rsidR="006157C2" w:rsidRPr="00023420" w:rsidRDefault="00023420" w:rsidP="006157C2">
            <w:pPr>
              <w:pStyle w:val="ListeParagraf"/>
              <w:ind w:left="0"/>
              <w:rPr>
                <w:color w:val="000000" w:themeColor="text1"/>
                <w:vertAlign w:val="superscript"/>
              </w:rPr>
            </w:pPr>
            <w:r>
              <w:rPr>
                <w:color w:val="000000" w:themeColor="text1"/>
              </w:rPr>
              <w:t xml:space="preserve">       Tirozin kinazları ya da sitokin reseptörlerini içeren translokasyonlar ile </w:t>
            </w:r>
            <w:r>
              <w:rPr>
                <w:color w:val="000000" w:themeColor="text1"/>
              </w:rPr>
              <w:t>B-hücreli lenfoblastik lösemi/lenfoma</w:t>
            </w:r>
            <w:r>
              <w:rPr>
                <w:color w:val="000000" w:themeColor="text1"/>
              </w:rPr>
              <w:t xml:space="preserve"> (‘BCR-ABL-benzeri ALL’)</w:t>
            </w:r>
            <w:r>
              <w:rPr>
                <w:color w:val="000000" w:themeColor="text1"/>
                <w:vertAlign w:val="superscript"/>
              </w:rPr>
              <w:t>a</w:t>
            </w:r>
          </w:p>
        </w:tc>
      </w:tr>
      <w:tr w:rsidR="00023420" w14:paraId="47ED6B36" w14:textId="77777777" w:rsidTr="006157C2">
        <w:tc>
          <w:tcPr>
            <w:tcW w:w="8336" w:type="dxa"/>
          </w:tcPr>
          <w:p w14:paraId="178761EF" w14:textId="77777777" w:rsidR="00023420" w:rsidRDefault="00023420" w:rsidP="006157C2">
            <w:pPr>
              <w:pStyle w:val="ListeParagraf"/>
              <w:ind w:left="0"/>
              <w:rPr>
                <w:color w:val="000000" w:themeColor="text1"/>
              </w:rPr>
            </w:pPr>
            <w:r>
              <w:rPr>
                <w:color w:val="000000" w:themeColor="text1"/>
              </w:rPr>
              <w:t>T-hücreli lenfoblastik lösemi/lenfoma</w:t>
            </w:r>
          </w:p>
          <w:p w14:paraId="4C7BE42D" w14:textId="4FA23D46" w:rsidR="00023420" w:rsidRPr="00023420" w:rsidRDefault="00023420" w:rsidP="006157C2">
            <w:pPr>
              <w:pStyle w:val="ListeParagraf"/>
              <w:ind w:left="0"/>
              <w:rPr>
                <w:color w:val="000000" w:themeColor="text1"/>
                <w:vertAlign w:val="superscript"/>
              </w:rPr>
            </w:pPr>
            <w:r>
              <w:rPr>
                <w:color w:val="000000" w:themeColor="text1"/>
              </w:rPr>
              <w:t xml:space="preserve">       Erken T-hücreli prekürsör lenfoblastik lösemi</w:t>
            </w:r>
            <w:r>
              <w:rPr>
                <w:color w:val="000000" w:themeColor="text1"/>
                <w:vertAlign w:val="superscript"/>
              </w:rPr>
              <w:t>a</w:t>
            </w:r>
          </w:p>
        </w:tc>
      </w:tr>
    </w:tbl>
    <w:p w14:paraId="1034C78C" w14:textId="35DDA0B0" w:rsidR="006157C2" w:rsidRPr="00023420" w:rsidRDefault="00023420" w:rsidP="006157C2">
      <w:pPr>
        <w:pStyle w:val="ListeParagraf"/>
        <w:rPr>
          <w:color w:val="000000" w:themeColor="text1"/>
          <w:sz w:val="20"/>
          <w:szCs w:val="20"/>
        </w:rPr>
      </w:pPr>
      <w:r w:rsidRPr="00023420">
        <w:rPr>
          <w:color w:val="000000" w:themeColor="text1"/>
          <w:sz w:val="20"/>
          <w:szCs w:val="20"/>
        </w:rPr>
        <w:t>Kısaltmalar: ALL, akut lenfoblastik lösemi; WHO, Dünya Sağlık Örgütü</w:t>
      </w:r>
    </w:p>
    <w:p w14:paraId="1E158CC9" w14:textId="50D347CA" w:rsidR="00023420" w:rsidRPr="00023420" w:rsidRDefault="00023420" w:rsidP="006157C2">
      <w:pPr>
        <w:pStyle w:val="ListeParagraf"/>
        <w:rPr>
          <w:color w:val="000000" w:themeColor="text1"/>
          <w:sz w:val="20"/>
          <w:szCs w:val="20"/>
        </w:rPr>
      </w:pPr>
      <w:r w:rsidRPr="00023420">
        <w:rPr>
          <w:color w:val="000000" w:themeColor="text1"/>
          <w:sz w:val="20"/>
          <w:szCs w:val="20"/>
          <w:vertAlign w:val="superscript"/>
        </w:rPr>
        <w:t xml:space="preserve">a </w:t>
      </w:r>
      <w:r w:rsidRPr="00023420">
        <w:rPr>
          <w:color w:val="000000" w:themeColor="text1"/>
          <w:sz w:val="20"/>
          <w:szCs w:val="20"/>
        </w:rPr>
        <w:t>Geçici tanımlama</w:t>
      </w:r>
    </w:p>
    <w:p w14:paraId="2DCE5405" w14:textId="77777777" w:rsidR="00A724A6" w:rsidRDefault="00A724A6" w:rsidP="00A724A6">
      <w:pPr>
        <w:pStyle w:val="ListeParagraf"/>
        <w:rPr>
          <w:color w:val="000000" w:themeColor="text1"/>
        </w:rPr>
      </w:pPr>
    </w:p>
    <w:p w14:paraId="30B97725" w14:textId="77777777" w:rsidR="00AB4696" w:rsidRDefault="00AB4696" w:rsidP="00A724A6">
      <w:pPr>
        <w:pStyle w:val="ListeParagraf"/>
        <w:rPr>
          <w:color w:val="000000" w:themeColor="text1"/>
        </w:rPr>
      </w:pPr>
    </w:p>
    <w:p w14:paraId="2C1FDDC6" w14:textId="77777777" w:rsidR="00336BE0" w:rsidRDefault="00336BE0" w:rsidP="00A724A6">
      <w:pPr>
        <w:pStyle w:val="ListeParagraf"/>
        <w:rPr>
          <w:color w:val="000000" w:themeColor="text1"/>
        </w:rPr>
      </w:pPr>
    </w:p>
    <w:p w14:paraId="5D8BC986" w14:textId="77777777" w:rsidR="00336BE0" w:rsidRDefault="00336BE0" w:rsidP="00A724A6">
      <w:pPr>
        <w:pStyle w:val="ListeParagraf"/>
        <w:rPr>
          <w:color w:val="000000" w:themeColor="text1"/>
        </w:rPr>
      </w:pPr>
    </w:p>
    <w:p w14:paraId="6AA2266B" w14:textId="4F9E492E" w:rsidR="00AB4696" w:rsidRPr="009F1BD8" w:rsidRDefault="00AB4696" w:rsidP="009F1BD8">
      <w:pPr>
        <w:pStyle w:val="ListeParagraf"/>
        <w:rPr>
          <w:color w:val="000000" w:themeColor="text1"/>
        </w:rPr>
      </w:pPr>
      <w:r>
        <w:rPr>
          <w:color w:val="000000" w:themeColor="text1"/>
        </w:rPr>
        <w:t>Tablo2: B ve T lenfosit Progenitörlerin immünfenotipik özellikleri</w:t>
      </w:r>
    </w:p>
    <w:p w14:paraId="5BCDA6B0" w14:textId="77777777" w:rsidR="00AB4696" w:rsidRDefault="00AB4696" w:rsidP="00A724A6">
      <w:pPr>
        <w:pStyle w:val="ListeParagraf"/>
        <w:rPr>
          <w:color w:val="000000" w:themeColor="text1"/>
        </w:rPr>
      </w:pPr>
    </w:p>
    <w:tbl>
      <w:tblPr>
        <w:tblStyle w:val="TabloKlavuzu"/>
        <w:tblW w:w="0" w:type="auto"/>
        <w:tblInd w:w="720" w:type="dxa"/>
        <w:tblLook w:val="04A0" w:firstRow="1" w:lastRow="0" w:firstColumn="1" w:lastColumn="0" w:noHBand="0" w:noVBand="1"/>
      </w:tblPr>
      <w:tblGrid>
        <w:gridCol w:w="1402"/>
        <w:gridCol w:w="789"/>
        <w:gridCol w:w="1023"/>
        <w:gridCol w:w="1023"/>
        <w:gridCol w:w="1055"/>
        <w:gridCol w:w="990"/>
        <w:gridCol w:w="1031"/>
        <w:gridCol w:w="1023"/>
      </w:tblGrid>
      <w:tr w:rsidR="00AB4696" w14:paraId="149EB330" w14:textId="77777777" w:rsidTr="00AB4696">
        <w:tc>
          <w:tcPr>
            <w:tcW w:w="1402" w:type="dxa"/>
          </w:tcPr>
          <w:p w14:paraId="06C3F0E5" w14:textId="41693E03" w:rsidR="00AB4696" w:rsidRPr="00AB4696" w:rsidRDefault="00AB4696" w:rsidP="00A724A6">
            <w:pPr>
              <w:pStyle w:val="ListeParagraf"/>
              <w:ind w:left="0"/>
              <w:rPr>
                <w:b/>
                <w:color w:val="000000" w:themeColor="text1"/>
              </w:rPr>
            </w:pPr>
            <w:r w:rsidRPr="00AB4696">
              <w:rPr>
                <w:b/>
                <w:color w:val="000000" w:themeColor="text1"/>
              </w:rPr>
              <w:t>B dizisi</w:t>
            </w:r>
          </w:p>
        </w:tc>
        <w:tc>
          <w:tcPr>
            <w:tcW w:w="789" w:type="dxa"/>
          </w:tcPr>
          <w:p w14:paraId="25FD2B87" w14:textId="46AF3983" w:rsidR="00AB4696" w:rsidRPr="00AB4696" w:rsidRDefault="00AB4696" w:rsidP="00A724A6">
            <w:pPr>
              <w:pStyle w:val="ListeParagraf"/>
              <w:ind w:left="0"/>
              <w:rPr>
                <w:b/>
                <w:color w:val="000000" w:themeColor="text1"/>
              </w:rPr>
            </w:pPr>
            <w:r w:rsidRPr="00AB4696">
              <w:rPr>
                <w:b/>
                <w:color w:val="000000" w:themeColor="text1"/>
              </w:rPr>
              <w:t>CD10</w:t>
            </w:r>
          </w:p>
        </w:tc>
        <w:tc>
          <w:tcPr>
            <w:tcW w:w="1023" w:type="dxa"/>
          </w:tcPr>
          <w:p w14:paraId="7C7BA591" w14:textId="38AC2686" w:rsidR="00AB4696" w:rsidRPr="00AB4696" w:rsidRDefault="00AB4696" w:rsidP="00A724A6">
            <w:pPr>
              <w:pStyle w:val="ListeParagraf"/>
              <w:ind w:left="0"/>
              <w:rPr>
                <w:b/>
                <w:color w:val="000000" w:themeColor="text1"/>
              </w:rPr>
            </w:pPr>
            <w:r w:rsidRPr="00AB4696">
              <w:rPr>
                <w:b/>
                <w:color w:val="000000" w:themeColor="text1"/>
              </w:rPr>
              <w:t>CD19</w:t>
            </w:r>
          </w:p>
        </w:tc>
        <w:tc>
          <w:tcPr>
            <w:tcW w:w="1023" w:type="dxa"/>
          </w:tcPr>
          <w:p w14:paraId="2E8BAF7A" w14:textId="4B3E28C9" w:rsidR="00AB4696" w:rsidRPr="00AB4696" w:rsidRDefault="00AB4696" w:rsidP="00A724A6">
            <w:pPr>
              <w:pStyle w:val="ListeParagraf"/>
              <w:ind w:left="0"/>
              <w:rPr>
                <w:b/>
                <w:color w:val="000000" w:themeColor="text1"/>
              </w:rPr>
            </w:pPr>
            <w:r w:rsidRPr="00AB4696">
              <w:rPr>
                <w:b/>
                <w:color w:val="000000" w:themeColor="text1"/>
              </w:rPr>
              <w:t>CD22</w:t>
            </w:r>
          </w:p>
        </w:tc>
        <w:tc>
          <w:tcPr>
            <w:tcW w:w="1055" w:type="dxa"/>
          </w:tcPr>
          <w:p w14:paraId="3FD7A247" w14:textId="2AAF8AD3" w:rsidR="00AB4696" w:rsidRPr="00AB4696" w:rsidRDefault="00AB4696" w:rsidP="00A724A6">
            <w:pPr>
              <w:pStyle w:val="ListeParagraf"/>
              <w:ind w:left="0"/>
              <w:rPr>
                <w:b/>
                <w:color w:val="000000" w:themeColor="text1"/>
              </w:rPr>
            </w:pPr>
            <w:r w:rsidRPr="00AB4696">
              <w:rPr>
                <w:b/>
                <w:color w:val="000000" w:themeColor="text1"/>
              </w:rPr>
              <w:t>CD79a</w:t>
            </w:r>
          </w:p>
        </w:tc>
        <w:tc>
          <w:tcPr>
            <w:tcW w:w="990" w:type="dxa"/>
          </w:tcPr>
          <w:p w14:paraId="4E795828" w14:textId="2B6D9865" w:rsidR="00AB4696" w:rsidRPr="00AB4696" w:rsidRDefault="00AB4696" w:rsidP="00A724A6">
            <w:pPr>
              <w:pStyle w:val="ListeParagraf"/>
              <w:ind w:left="0"/>
              <w:rPr>
                <w:b/>
                <w:color w:val="000000" w:themeColor="text1"/>
              </w:rPr>
            </w:pPr>
            <w:r w:rsidRPr="00AB4696">
              <w:rPr>
                <w:b/>
                <w:color w:val="000000" w:themeColor="text1"/>
              </w:rPr>
              <w:t>TdT</w:t>
            </w:r>
          </w:p>
        </w:tc>
        <w:tc>
          <w:tcPr>
            <w:tcW w:w="1031" w:type="dxa"/>
          </w:tcPr>
          <w:p w14:paraId="2037D29F" w14:textId="04404ADE" w:rsidR="00AB4696" w:rsidRPr="00AB4696" w:rsidRDefault="00AB4696" w:rsidP="00A724A6">
            <w:pPr>
              <w:pStyle w:val="ListeParagraf"/>
              <w:ind w:left="0"/>
              <w:rPr>
                <w:b/>
                <w:color w:val="000000" w:themeColor="text1"/>
              </w:rPr>
            </w:pPr>
            <w:r w:rsidRPr="00AB4696">
              <w:rPr>
                <w:b/>
                <w:color w:val="000000" w:themeColor="text1"/>
              </w:rPr>
              <w:t>CyIg</w:t>
            </w:r>
            <w:r w:rsidRPr="00AB4696">
              <w:rPr>
                <w:b/>
                <w:color w:val="000000" w:themeColor="text1"/>
              </w:rPr>
              <w:sym w:font="Symbol" w:char="F06D"/>
            </w:r>
          </w:p>
        </w:tc>
        <w:tc>
          <w:tcPr>
            <w:tcW w:w="1023" w:type="dxa"/>
          </w:tcPr>
          <w:p w14:paraId="1897DA4E" w14:textId="77777777" w:rsidR="00AB4696" w:rsidRDefault="00AB4696" w:rsidP="00A724A6">
            <w:pPr>
              <w:pStyle w:val="ListeParagraf"/>
              <w:ind w:left="0"/>
              <w:rPr>
                <w:color w:val="000000" w:themeColor="text1"/>
              </w:rPr>
            </w:pPr>
          </w:p>
        </w:tc>
      </w:tr>
      <w:tr w:rsidR="00AB4696" w14:paraId="6D021599" w14:textId="77777777" w:rsidTr="00AB4696">
        <w:tc>
          <w:tcPr>
            <w:tcW w:w="1402" w:type="dxa"/>
          </w:tcPr>
          <w:p w14:paraId="274CEB8A" w14:textId="3184EA63" w:rsidR="00AB4696" w:rsidRDefault="00AB4696" w:rsidP="00A724A6">
            <w:pPr>
              <w:pStyle w:val="ListeParagraf"/>
              <w:ind w:left="0"/>
              <w:rPr>
                <w:color w:val="000000" w:themeColor="text1"/>
              </w:rPr>
            </w:pPr>
            <w:r>
              <w:rPr>
                <w:color w:val="000000" w:themeColor="text1"/>
              </w:rPr>
              <w:t>Erken prekürsör (pro-B)</w:t>
            </w:r>
          </w:p>
        </w:tc>
        <w:tc>
          <w:tcPr>
            <w:tcW w:w="789" w:type="dxa"/>
          </w:tcPr>
          <w:p w14:paraId="4CF4E253" w14:textId="5320933B" w:rsidR="00AB4696" w:rsidRDefault="00AB4696" w:rsidP="00A724A6">
            <w:pPr>
              <w:pStyle w:val="ListeParagraf"/>
              <w:ind w:left="0"/>
              <w:rPr>
                <w:color w:val="000000" w:themeColor="text1"/>
              </w:rPr>
            </w:pPr>
            <w:r>
              <w:rPr>
                <w:color w:val="000000" w:themeColor="text1"/>
              </w:rPr>
              <w:t xml:space="preserve">   -</w:t>
            </w:r>
          </w:p>
        </w:tc>
        <w:tc>
          <w:tcPr>
            <w:tcW w:w="1023" w:type="dxa"/>
          </w:tcPr>
          <w:p w14:paraId="699B7825" w14:textId="23BD3246" w:rsidR="00AB4696" w:rsidRDefault="00AB4696" w:rsidP="00A724A6">
            <w:pPr>
              <w:pStyle w:val="ListeParagraf"/>
              <w:ind w:left="0"/>
              <w:rPr>
                <w:color w:val="000000" w:themeColor="text1"/>
              </w:rPr>
            </w:pPr>
            <w:r>
              <w:rPr>
                <w:color w:val="000000" w:themeColor="text1"/>
              </w:rPr>
              <w:t>+</w:t>
            </w:r>
          </w:p>
        </w:tc>
        <w:tc>
          <w:tcPr>
            <w:tcW w:w="1023" w:type="dxa"/>
          </w:tcPr>
          <w:p w14:paraId="0C5D1629" w14:textId="2C3E7A3A" w:rsidR="00AB4696" w:rsidRDefault="00AB4696" w:rsidP="00A724A6">
            <w:pPr>
              <w:pStyle w:val="ListeParagraf"/>
              <w:ind w:left="0"/>
              <w:rPr>
                <w:color w:val="000000" w:themeColor="text1"/>
              </w:rPr>
            </w:pPr>
            <w:r>
              <w:rPr>
                <w:color w:val="000000" w:themeColor="text1"/>
              </w:rPr>
              <w:t>+</w:t>
            </w:r>
          </w:p>
        </w:tc>
        <w:tc>
          <w:tcPr>
            <w:tcW w:w="1055" w:type="dxa"/>
          </w:tcPr>
          <w:p w14:paraId="6A27D9E4" w14:textId="73E3D1E4" w:rsidR="00AB4696" w:rsidRDefault="00AB4696" w:rsidP="00A724A6">
            <w:pPr>
              <w:pStyle w:val="ListeParagraf"/>
              <w:ind w:left="0"/>
              <w:rPr>
                <w:color w:val="000000" w:themeColor="text1"/>
              </w:rPr>
            </w:pPr>
            <w:r>
              <w:rPr>
                <w:color w:val="000000" w:themeColor="text1"/>
              </w:rPr>
              <w:t>+</w:t>
            </w:r>
          </w:p>
        </w:tc>
        <w:tc>
          <w:tcPr>
            <w:tcW w:w="990" w:type="dxa"/>
          </w:tcPr>
          <w:p w14:paraId="15DEE61C" w14:textId="05F81B55" w:rsidR="00AB4696" w:rsidRDefault="00AB4696" w:rsidP="00A724A6">
            <w:pPr>
              <w:pStyle w:val="ListeParagraf"/>
              <w:ind w:left="0"/>
              <w:rPr>
                <w:color w:val="000000" w:themeColor="text1"/>
              </w:rPr>
            </w:pPr>
            <w:r>
              <w:rPr>
                <w:color w:val="000000" w:themeColor="text1"/>
              </w:rPr>
              <w:t>+</w:t>
            </w:r>
          </w:p>
        </w:tc>
        <w:tc>
          <w:tcPr>
            <w:tcW w:w="1031" w:type="dxa"/>
          </w:tcPr>
          <w:p w14:paraId="232E7154" w14:textId="1A3D36F7" w:rsidR="00AB4696" w:rsidRDefault="00AB4696" w:rsidP="00A724A6">
            <w:pPr>
              <w:pStyle w:val="ListeParagraf"/>
              <w:ind w:left="0"/>
              <w:rPr>
                <w:color w:val="000000" w:themeColor="text1"/>
              </w:rPr>
            </w:pPr>
            <w:r>
              <w:rPr>
                <w:color w:val="000000" w:themeColor="text1"/>
              </w:rPr>
              <w:t>-</w:t>
            </w:r>
          </w:p>
        </w:tc>
        <w:tc>
          <w:tcPr>
            <w:tcW w:w="1023" w:type="dxa"/>
          </w:tcPr>
          <w:p w14:paraId="47BE5CFC" w14:textId="77777777" w:rsidR="00AB4696" w:rsidRDefault="00AB4696" w:rsidP="00A724A6">
            <w:pPr>
              <w:pStyle w:val="ListeParagraf"/>
              <w:ind w:left="0"/>
              <w:rPr>
                <w:color w:val="000000" w:themeColor="text1"/>
              </w:rPr>
            </w:pPr>
          </w:p>
        </w:tc>
      </w:tr>
      <w:tr w:rsidR="00AB4696" w14:paraId="3A33906E" w14:textId="77777777" w:rsidTr="00AB4696">
        <w:tc>
          <w:tcPr>
            <w:tcW w:w="1402" w:type="dxa"/>
          </w:tcPr>
          <w:p w14:paraId="04037790" w14:textId="39726637" w:rsidR="00AB4696" w:rsidRDefault="00AB4696" w:rsidP="00A724A6">
            <w:pPr>
              <w:pStyle w:val="ListeParagraf"/>
              <w:ind w:left="0"/>
              <w:rPr>
                <w:color w:val="000000" w:themeColor="text1"/>
              </w:rPr>
            </w:pPr>
            <w:r>
              <w:rPr>
                <w:color w:val="000000" w:themeColor="text1"/>
              </w:rPr>
              <w:t xml:space="preserve">Common </w:t>
            </w:r>
          </w:p>
        </w:tc>
        <w:tc>
          <w:tcPr>
            <w:tcW w:w="789" w:type="dxa"/>
          </w:tcPr>
          <w:p w14:paraId="140E6EDC" w14:textId="67A4C7B8" w:rsidR="00AB4696" w:rsidRDefault="00AB4696" w:rsidP="00A724A6">
            <w:pPr>
              <w:pStyle w:val="ListeParagraf"/>
              <w:ind w:left="0"/>
              <w:rPr>
                <w:color w:val="000000" w:themeColor="text1"/>
              </w:rPr>
            </w:pPr>
            <w:r>
              <w:rPr>
                <w:color w:val="000000" w:themeColor="text1"/>
              </w:rPr>
              <w:t>+</w:t>
            </w:r>
          </w:p>
        </w:tc>
        <w:tc>
          <w:tcPr>
            <w:tcW w:w="1023" w:type="dxa"/>
          </w:tcPr>
          <w:p w14:paraId="08BFB376" w14:textId="378ECF10" w:rsidR="00AB4696" w:rsidRDefault="00AB4696" w:rsidP="00A724A6">
            <w:pPr>
              <w:pStyle w:val="ListeParagraf"/>
              <w:ind w:left="0"/>
              <w:rPr>
                <w:color w:val="000000" w:themeColor="text1"/>
              </w:rPr>
            </w:pPr>
            <w:r>
              <w:rPr>
                <w:color w:val="000000" w:themeColor="text1"/>
              </w:rPr>
              <w:t>+</w:t>
            </w:r>
          </w:p>
        </w:tc>
        <w:tc>
          <w:tcPr>
            <w:tcW w:w="1023" w:type="dxa"/>
          </w:tcPr>
          <w:p w14:paraId="3D54588F" w14:textId="7CAA5DE5" w:rsidR="00AB4696" w:rsidRDefault="00AB4696" w:rsidP="00A724A6">
            <w:pPr>
              <w:pStyle w:val="ListeParagraf"/>
              <w:ind w:left="0"/>
              <w:rPr>
                <w:color w:val="000000" w:themeColor="text1"/>
              </w:rPr>
            </w:pPr>
            <w:r>
              <w:rPr>
                <w:color w:val="000000" w:themeColor="text1"/>
              </w:rPr>
              <w:t>+</w:t>
            </w:r>
          </w:p>
        </w:tc>
        <w:tc>
          <w:tcPr>
            <w:tcW w:w="1055" w:type="dxa"/>
          </w:tcPr>
          <w:p w14:paraId="67D6439C" w14:textId="2EE1062A" w:rsidR="00AB4696" w:rsidRDefault="00AB4696" w:rsidP="00A724A6">
            <w:pPr>
              <w:pStyle w:val="ListeParagraf"/>
              <w:ind w:left="0"/>
              <w:rPr>
                <w:color w:val="000000" w:themeColor="text1"/>
              </w:rPr>
            </w:pPr>
            <w:r>
              <w:rPr>
                <w:color w:val="000000" w:themeColor="text1"/>
              </w:rPr>
              <w:t>+</w:t>
            </w:r>
          </w:p>
        </w:tc>
        <w:tc>
          <w:tcPr>
            <w:tcW w:w="990" w:type="dxa"/>
          </w:tcPr>
          <w:p w14:paraId="21EC9376" w14:textId="09B6495C" w:rsidR="00AB4696" w:rsidRDefault="00AB4696" w:rsidP="00A724A6">
            <w:pPr>
              <w:pStyle w:val="ListeParagraf"/>
              <w:ind w:left="0"/>
              <w:rPr>
                <w:color w:val="000000" w:themeColor="text1"/>
              </w:rPr>
            </w:pPr>
            <w:r>
              <w:rPr>
                <w:color w:val="000000" w:themeColor="text1"/>
              </w:rPr>
              <w:t>+</w:t>
            </w:r>
          </w:p>
        </w:tc>
        <w:tc>
          <w:tcPr>
            <w:tcW w:w="1031" w:type="dxa"/>
          </w:tcPr>
          <w:p w14:paraId="0BE1DCE7" w14:textId="31290891" w:rsidR="00AB4696" w:rsidRDefault="00AB4696" w:rsidP="00A724A6">
            <w:pPr>
              <w:pStyle w:val="ListeParagraf"/>
              <w:ind w:left="0"/>
              <w:rPr>
                <w:color w:val="000000" w:themeColor="text1"/>
              </w:rPr>
            </w:pPr>
            <w:r>
              <w:rPr>
                <w:color w:val="000000" w:themeColor="text1"/>
              </w:rPr>
              <w:t>-</w:t>
            </w:r>
          </w:p>
        </w:tc>
        <w:tc>
          <w:tcPr>
            <w:tcW w:w="1023" w:type="dxa"/>
          </w:tcPr>
          <w:p w14:paraId="72E444E2" w14:textId="77777777" w:rsidR="00AB4696" w:rsidRDefault="00AB4696" w:rsidP="00A724A6">
            <w:pPr>
              <w:pStyle w:val="ListeParagraf"/>
              <w:ind w:left="0"/>
              <w:rPr>
                <w:color w:val="000000" w:themeColor="text1"/>
              </w:rPr>
            </w:pPr>
          </w:p>
        </w:tc>
      </w:tr>
      <w:tr w:rsidR="00AB4696" w14:paraId="4A4AC858" w14:textId="77777777" w:rsidTr="00AB4696">
        <w:tc>
          <w:tcPr>
            <w:tcW w:w="1402" w:type="dxa"/>
          </w:tcPr>
          <w:p w14:paraId="6738AF64" w14:textId="74C82691" w:rsidR="00AB4696" w:rsidRDefault="00AB4696" w:rsidP="00A724A6">
            <w:pPr>
              <w:pStyle w:val="ListeParagraf"/>
              <w:ind w:left="0"/>
              <w:rPr>
                <w:color w:val="000000" w:themeColor="text1"/>
              </w:rPr>
            </w:pPr>
            <w:r>
              <w:rPr>
                <w:color w:val="000000" w:themeColor="text1"/>
              </w:rPr>
              <w:t>Pre-B</w:t>
            </w:r>
          </w:p>
        </w:tc>
        <w:tc>
          <w:tcPr>
            <w:tcW w:w="789" w:type="dxa"/>
          </w:tcPr>
          <w:p w14:paraId="04AD6A98" w14:textId="0E3A7AB8" w:rsidR="00AB4696" w:rsidRDefault="00AB4696" w:rsidP="00A724A6">
            <w:pPr>
              <w:pStyle w:val="ListeParagraf"/>
              <w:ind w:left="0"/>
              <w:rPr>
                <w:color w:val="000000" w:themeColor="text1"/>
              </w:rPr>
            </w:pPr>
            <w:r>
              <w:rPr>
                <w:color w:val="000000" w:themeColor="text1"/>
              </w:rPr>
              <w:t>+/-</w:t>
            </w:r>
          </w:p>
        </w:tc>
        <w:tc>
          <w:tcPr>
            <w:tcW w:w="1023" w:type="dxa"/>
          </w:tcPr>
          <w:p w14:paraId="0BDF05D7" w14:textId="7482A8BA" w:rsidR="00AB4696" w:rsidRDefault="00AB4696" w:rsidP="00A724A6">
            <w:pPr>
              <w:pStyle w:val="ListeParagraf"/>
              <w:ind w:left="0"/>
              <w:rPr>
                <w:color w:val="000000" w:themeColor="text1"/>
              </w:rPr>
            </w:pPr>
            <w:r>
              <w:rPr>
                <w:color w:val="000000" w:themeColor="text1"/>
              </w:rPr>
              <w:t>+</w:t>
            </w:r>
          </w:p>
        </w:tc>
        <w:tc>
          <w:tcPr>
            <w:tcW w:w="1023" w:type="dxa"/>
          </w:tcPr>
          <w:p w14:paraId="05EFBA90" w14:textId="538FD723" w:rsidR="00AB4696" w:rsidRDefault="00AB4696" w:rsidP="00A724A6">
            <w:pPr>
              <w:pStyle w:val="ListeParagraf"/>
              <w:ind w:left="0"/>
              <w:rPr>
                <w:color w:val="000000" w:themeColor="text1"/>
              </w:rPr>
            </w:pPr>
            <w:r>
              <w:rPr>
                <w:color w:val="000000" w:themeColor="text1"/>
              </w:rPr>
              <w:t>+</w:t>
            </w:r>
          </w:p>
        </w:tc>
        <w:tc>
          <w:tcPr>
            <w:tcW w:w="1055" w:type="dxa"/>
          </w:tcPr>
          <w:p w14:paraId="58D4D54B" w14:textId="503D4563" w:rsidR="00AB4696" w:rsidRDefault="00AB4696" w:rsidP="00A724A6">
            <w:pPr>
              <w:pStyle w:val="ListeParagraf"/>
              <w:ind w:left="0"/>
              <w:rPr>
                <w:color w:val="000000" w:themeColor="text1"/>
              </w:rPr>
            </w:pPr>
            <w:r>
              <w:rPr>
                <w:color w:val="000000" w:themeColor="text1"/>
              </w:rPr>
              <w:t>+</w:t>
            </w:r>
          </w:p>
        </w:tc>
        <w:tc>
          <w:tcPr>
            <w:tcW w:w="990" w:type="dxa"/>
          </w:tcPr>
          <w:p w14:paraId="780773D0" w14:textId="599BC17A" w:rsidR="00AB4696" w:rsidRDefault="00AB4696" w:rsidP="00A724A6">
            <w:pPr>
              <w:pStyle w:val="ListeParagraf"/>
              <w:ind w:left="0"/>
              <w:rPr>
                <w:color w:val="000000" w:themeColor="text1"/>
              </w:rPr>
            </w:pPr>
            <w:r>
              <w:rPr>
                <w:color w:val="000000" w:themeColor="text1"/>
              </w:rPr>
              <w:t>+</w:t>
            </w:r>
          </w:p>
        </w:tc>
        <w:tc>
          <w:tcPr>
            <w:tcW w:w="1031" w:type="dxa"/>
          </w:tcPr>
          <w:p w14:paraId="50F2DD09" w14:textId="475A4F58" w:rsidR="00AB4696" w:rsidRDefault="00AB4696" w:rsidP="00A724A6">
            <w:pPr>
              <w:pStyle w:val="ListeParagraf"/>
              <w:ind w:left="0"/>
              <w:rPr>
                <w:color w:val="000000" w:themeColor="text1"/>
              </w:rPr>
            </w:pPr>
            <w:r>
              <w:rPr>
                <w:color w:val="000000" w:themeColor="text1"/>
              </w:rPr>
              <w:t>+</w:t>
            </w:r>
          </w:p>
        </w:tc>
        <w:tc>
          <w:tcPr>
            <w:tcW w:w="1023" w:type="dxa"/>
          </w:tcPr>
          <w:p w14:paraId="10168075" w14:textId="77777777" w:rsidR="00AB4696" w:rsidRDefault="00AB4696" w:rsidP="00A724A6">
            <w:pPr>
              <w:pStyle w:val="ListeParagraf"/>
              <w:ind w:left="0"/>
              <w:rPr>
                <w:color w:val="000000" w:themeColor="text1"/>
              </w:rPr>
            </w:pPr>
          </w:p>
        </w:tc>
      </w:tr>
      <w:tr w:rsidR="00AB4696" w14:paraId="1E2F07CE" w14:textId="77777777" w:rsidTr="00AB4696">
        <w:tc>
          <w:tcPr>
            <w:tcW w:w="1402" w:type="dxa"/>
          </w:tcPr>
          <w:p w14:paraId="31F4A885" w14:textId="233C6485" w:rsidR="00AB4696" w:rsidRPr="00AB4696" w:rsidRDefault="00AB4696" w:rsidP="00A724A6">
            <w:pPr>
              <w:pStyle w:val="ListeParagraf"/>
              <w:ind w:left="0"/>
              <w:rPr>
                <w:b/>
                <w:color w:val="000000" w:themeColor="text1"/>
              </w:rPr>
            </w:pPr>
            <w:r w:rsidRPr="00AB4696">
              <w:rPr>
                <w:b/>
                <w:color w:val="000000" w:themeColor="text1"/>
              </w:rPr>
              <w:t>T dizisi</w:t>
            </w:r>
          </w:p>
        </w:tc>
        <w:tc>
          <w:tcPr>
            <w:tcW w:w="789" w:type="dxa"/>
          </w:tcPr>
          <w:p w14:paraId="11F1B3E9" w14:textId="147B16FC" w:rsidR="00AB4696" w:rsidRPr="00AB4696" w:rsidRDefault="00AB4696" w:rsidP="00A724A6">
            <w:pPr>
              <w:pStyle w:val="ListeParagraf"/>
              <w:ind w:left="0"/>
              <w:rPr>
                <w:b/>
                <w:color w:val="000000" w:themeColor="text1"/>
              </w:rPr>
            </w:pPr>
            <w:r w:rsidRPr="00AB4696">
              <w:rPr>
                <w:b/>
                <w:color w:val="000000" w:themeColor="text1"/>
              </w:rPr>
              <w:t>CD1a</w:t>
            </w:r>
          </w:p>
        </w:tc>
        <w:tc>
          <w:tcPr>
            <w:tcW w:w="1023" w:type="dxa"/>
          </w:tcPr>
          <w:p w14:paraId="008FB0F7" w14:textId="512D8D39" w:rsidR="00AB4696" w:rsidRPr="00AB4696" w:rsidRDefault="00AB4696" w:rsidP="00A724A6">
            <w:pPr>
              <w:pStyle w:val="ListeParagraf"/>
              <w:ind w:left="0"/>
              <w:rPr>
                <w:b/>
                <w:color w:val="000000" w:themeColor="text1"/>
              </w:rPr>
            </w:pPr>
            <w:r w:rsidRPr="00AB4696">
              <w:rPr>
                <w:b/>
                <w:color w:val="000000" w:themeColor="text1"/>
              </w:rPr>
              <w:t>CD2</w:t>
            </w:r>
          </w:p>
        </w:tc>
        <w:tc>
          <w:tcPr>
            <w:tcW w:w="1023" w:type="dxa"/>
          </w:tcPr>
          <w:p w14:paraId="23849381" w14:textId="5B8FAF14" w:rsidR="00AB4696" w:rsidRPr="00AB4696" w:rsidRDefault="00AB4696" w:rsidP="00A724A6">
            <w:pPr>
              <w:pStyle w:val="ListeParagraf"/>
              <w:ind w:left="0"/>
              <w:rPr>
                <w:b/>
                <w:color w:val="000000" w:themeColor="text1"/>
              </w:rPr>
            </w:pPr>
            <w:r w:rsidRPr="00AB4696">
              <w:rPr>
                <w:b/>
                <w:color w:val="000000" w:themeColor="text1"/>
              </w:rPr>
              <w:t>CD3</w:t>
            </w:r>
          </w:p>
        </w:tc>
        <w:tc>
          <w:tcPr>
            <w:tcW w:w="1055" w:type="dxa"/>
          </w:tcPr>
          <w:p w14:paraId="301B6FF1" w14:textId="323C7745" w:rsidR="00AB4696" w:rsidRPr="00AB4696" w:rsidRDefault="00AB4696" w:rsidP="00A724A6">
            <w:pPr>
              <w:pStyle w:val="ListeParagraf"/>
              <w:ind w:left="0"/>
              <w:rPr>
                <w:b/>
                <w:color w:val="000000" w:themeColor="text1"/>
              </w:rPr>
            </w:pPr>
            <w:r w:rsidRPr="00AB4696">
              <w:rPr>
                <w:b/>
                <w:color w:val="000000" w:themeColor="text1"/>
              </w:rPr>
              <w:t>CD4</w:t>
            </w:r>
          </w:p>
        </w:tc>
        <w:tc>
          <w:tcPr>
            <w:tcW w:w="990" w:type="dxa"/>
          </w:tcPr>
          <w:p w14:paraId="27A238BF" w14:textId="54B86636" w:rsidR="00AB4696" w:rsidRPr="00AB4696" w:rsidRDefault="00AB4696" w:rsidP="00A724A6">
            <w:pPr>
              <w:pStyle w:val="ListeParagraf"/>
              <w:ind w:left="0"/>
              <w:rPr>
                <w:b/>
                <w:color w:val="000000" w:themeColor="text1"/>
              </w:rPr>
            </w:pPr>
            <w:r w:rsidRPr="00AB4696">
              <w:rPr>
                <w:b/>
                <w:color w:val="000000" w:themeColor="text1"/>
              </w:rPr>
              <w:t>CD7</w:t>
            </w:r>
          </w:p>
        </w:tc>
        <w:tc>
          <w:tcPr>
            <w:tcW w:w="1031" w:type="dxa"/>
          </w:tcPr>
          <w:p w14:paraId="1567BE76" w14:textId="4135FEC8" w:rsidR="00AB4696" w:rsidRPr="00AB4696" w:rsidRDefault="00AB4696" w:rsidP="00A724A6">
            <w:pPr>
              <w:pStyle w:val="ListeParagraf"/>
              <w:ind w:left="0"/>
              <w:rPr>
                <w:b/>
                <w:color w:val="000000" w:themeColor="text1"/>
              </w:rPr>
            </w:pPr>
            <w:r w:rsidRPr="00AB4696">
              <w:rPr>
                <w:b/>
                <w:color w:val="000000" w:themeColor="text1"/>
              </w:rPr>
              <w:t>CD8</w:t>
            </w:r>
          </w:p>
        </w:tc>
        <w:tc>
          <w:tcPr>
            <w:tcW w:w="1023" w:type="dxa"/>
          </w:tcPr>
          <w:p w14:paraId="48026023" w14:textId="4F7C1E57" w:rsidR="00AB4696" w:rsidRPr="00AB4696" w:rsidRDefault="00AB4696" w:rsidP="00A724A6">
            <w:pPr>
              <w:pStyle w:val="ListeParagraf"/>
              <w:ind w:left="0"/>
              <w:rPr>
                <w:b/>
                <w:color w:val="000000" w:themeColor="text1"/>
              </w:rPr>
            </w:pPr>
            <w:r w:rsidRPr="00AB4696">
              <w:rPr>
                <w:b/>
                <w:color w:val="000000" w:themeColor="text1"/>
              </w:rPr>
              <w:t>CD34</w:t>
            </w:r>
          </w:p>
        </w:tc>
      </w:tr>
      <w:tr w:rsidR="00AB4696" w14:paraId="45608789" w14:textId="77777777" w:rsidTr="00AB4696">
        <w:tc>
          <w:tcPr>
            <w:tcW w:w="1402" w:type="dxa"/>
          </w:tcPr>
          <w:p w14:paraId="0EBA1E97" w14:textId="7D95C369" w:rsidR="00AB4696" w:rsidRPr="00AB4696" w:rsidRDefault="00AB4696" w:rsidP="00A724A6">
            <w:pPr>
              <w:pStyle w:val="ListeParagraf"/>
              <w:ind w:left="0"/>
              <w:rPr>
                <w:color w:val="000000" w:themeColor="text1"/>
                <w:vertAlign w:val="superscript"/>
              </w:rPr>
            </w:pPr>
            <w:r>
              <w:rPr>
                <w:color w:val="000000" w:themeColor="text1"/>
              </w:rPr>
              <w:t>ETP</w:t>
            </w:r>
            <w:r>
              <w:rPr>
                <w:color w:val="000000" w:themeColor="text1"/>
                <w:vertAlign w:val="superscript"/>
              </w:rPr>
              <w:t>a</w:t>
            </w:r>
          </w:p>
        </w:tc>
        <w:tc>
          <w:tcPr>
            <w:tcW w:w="789" w:type="dxa"/>
          </w:tcPr>
          <w:p w14:paraId="15344007" w14:textId="2B24532B" w:rsidR="00AB4696" w:rsidRDefault="00AB4696" w:rsidP="00A724A6">
            <w:pPr>
              <w:pStyle w:val="ListeParagraf"/>
              <w:ind w:left="0"/>
              <w:rPr>
                <w:color w:val="000000" w:themeColor="text1"/>
              </w:rPr>
            </w:pPr>
            <w:r>
              <w:rPr>
                <w:color w:val="000000" w:themeColor="text1"/>
              </w:rPr>
              <w:t>-</w:t>
            </w:r>
          </w:p>
        </w:tc>
        <w:tc>
          <w:tcPr>
            <w:tcW w:w="1023" w:type="dxa"/>
          </w:tcPr>
          <w:p w14:paraId="108916BA" w14:textId="2B9764C0" w:rsidR="00AB4696" w:rsidRDefault="00AB4696" w:rsidP="00A724A6">
            <w:pPr>
              <w:pStyle w:val="ListeParagraf"/>
              <w:ind w:left="0"/>
              <w:rPr>
                <w:color w:val="000000" w:themeColor="text1"/>
              </w:rPr>
            </w:pPr>
            <w:r>
              <w:rPr>
                <w:color w:val="000000" w:themeColor="text1"/>
              </w:rPr>
              <w:t>+/-</w:t>
            </w:r>
          </w:p>
        </w:tc>
        <w:tc>
          <w:tcPr>
            <w:tcW w:w="1023" w:type="dxa"/>
          </w:tcPr>
          <w:p w14:paraId="76398A4D" w14:textId="6A00E234" w:rsidR="00AB4696" w:rsidRDefault="00AB4696" w:rsidP="00A724A6">
            <w:pPr>
              <w:pStyle w:val="ListeParagraf"/>
              <w:ind w:left="0"/>
              <w:rPr>
                <w:color w:val="000000" w:themeColor="text1"/>
              </w:rPr>
            </w:pPr>
            <w:r>
              <w:rPr>
                <w:color w:val="000000" w:themeColor="text1"/>
              </w:rPr>
              <w:t>C</w:t>
            </w:r>
          </w:p>
        </w:tc>
        <w:tc>
          <w:tcPr>
            <w:tcW w:w="1055" w:type="dxa"/>
          </w:tcPr>
          <w:p w14:paraId="187B96AC" w14:textId="7E15B981" w:rsidR="00AB4696" w:rsidRDefault="00AB4696" w:rsidP="00A724A6">
            <w:pPr>
              <w:pStyle w:val="ListeParagraf"/>
              <w:ind w:left="0"/>
              <w:rPr>
                <w:color w:val="000000" w:themeColor="text1"/>
              </w:rPr>
            </w:pPr>
            <w:r>
              <w:rPr>
                <w:color w:val="000000" w:themeColor="text1"/>
              </w:rPr>
              <w:t>+/-</w:t>
            </w:r>
          </w:p>
        </w:tc>
        <w:tc>
          <w:tcPr>
            <w:tcW w:w="990" w:type="dxa"/>
          </w:tcPr>
          <w:p w14:paraId="58501123" w14:textId="227A753D" w:rsidR="00AB4696" w:rsidRDefault="00AB4696" w:rsidP="00A724A6">
            <w:pPr>
              <w:pStyle w:val="ListeParagraf"/>
              <w:ind w:left="0"/>
              <w:rPr>
                <w:color w:val="000000" w:themeColor="text1"/>
              </w:rPr>
            </w:pPr>
            <w:r>
              <w:rPr>
                <w:color w:val="000000" w:themeColor="text1"/>
              </w:rPr>
              <w:t>+/-</w:t>
            </w:r>
          </w:p>
        </w:tc>
        <w:tc>
          <w:tcPr>
            <w:tcW w:w="1031" w:type="dxa"/>
          </w:tcPr>
          <w:p w14:paraId="12AE3E97" w14:textId="4EF063E0" w:rsidR="00AB4696" w:rsidRDefault="00AB4696" w:rsidP="00A724A6">
            <w:pPr>
              <w:pStyle w:val="ListeParagraf"/>
              <w:ind w:left="0"/>
              <w:rPr>
                <w:color w:val="000000" w:themeColor="text1"/>
              </w:rPr>
            </w:pPr>
            <w:r>
              <w:rPr>
                <w:color w:val="000000" w:themeColor="text1"/>
              </w:rPr>
              <w:t>-</w:t>
            </w:r>
          </w:p>
        </w:tc>
        <w:tc>
          <w:tcPr>
            <w:tcW w:w="1023" w:type="dxa"/>
          </w:tcPr>
          <w:p w14:paraId="41A3D649" w14:textId="7734637C" w:rsidR="00AB4696" w:rsidRDefault="00AB4696" w:rsidP="00A724A6">
            <w:pPr>
              <w:pStyle w:val="ListeParagraf"/>
              <w:ind w:left="0"/>
              <w:rPr>
                <w:color w:val="000000" w:themeColor="text1"/>
              </w:rPr>
            </w:pPr>
            <w:r>
              <w:rPr>
                <w:color w:val="000000" w:themeColor="text1"/>
              </w:rPr>
              <w:t>+</w:t>
            </w:r>
          </w:p>
        </w:tc>
      </w:tr>
      <w:tr w:rsidR="00AB4696" w14:paraId="52A37FBB" w14:textId="77777777" w:rsidTr="00AB4696">
        <w:tc>
          <w:tcPr>
            <w:tcW w:w="1402" w:type="dxa"/>
          </w:tcPr>
          <w:p w14:paraId="0D4B26FB" w14:textId="6EA2BDA1" w:rsidR="00AB4696" w:rsidRDefault="00AB4696" w:rsidP="00A724A6">
            <w:pPr>
              <w:pStyle w:val="ListeParagraf"/>
              <w:ind w:left="0"/>
              <w:rPr>
                <w:color w:val="000000" w:themeColor="text1"/>
              </w:rPr>
            </w:pPr>
            <w:r>
              <w:rPr>
                <w:color w:val="000000" w:themeColor="text1"/>
              </w:rPr>
              <w:t>Pro-T</w:t>
            </w:r>
          </w:p>
        </w:tc>
        <w:tc>
          <w:tcPr>
            <w:tcW w:w="789" w:type="dxa"/>
          </w:tcPr>
          <w:p w14:paraId="1723270E" w14:textId="2FD98775" w:rsidR="00AB4696" w:rsidRDefault="00AB4696" w:rsidP="00A724A6">
            <w:pPr>
              <w:pStyle w:val="ListeParagraf"/>
              <w:ind w:left="0"/>
              <w:rPr>
                <w:color w:val="000000" w:themeColor="text1"/>
              </w:rPr>
            </w:pPr>
            <w:r>
              <w:rPr>
                <w:color w:val="000000" w:themeColor="text1"/>
              </w:rPr>
              <w:t>-</w:t>
            </w:r>
          </w:p>
        </w:tc>
        <w:tc>
          <w:tcPr>
            <w:tcW w:w="1023" w:type="dxa"/>
          </w:tcPr>
          <w:p w14:paraId="3A9DFC95" w14:textId="3B740789" w:rsidR="00AB4696" w:rsidRDefault="00AB4696" w:rsidP="00A724A6">
            <w:pPr>
              <w:pStyle w:val="ListeParagraf"/>
              <w:ind w:left="0"/>
              <w:rPr>
                <w:color w:val="000000" w:themeColor="text1"/>
              </w:rPr>
            </w:pPr>
            <w:r>
              <w:rPr>
                <w:color w:val="000000" w:themeColor="text1"/>
              </w:rPr>
              <w:t>-</w:t>
            </w:r>
          </w:p>
        </w:tc>
        <w:tc>
          <w:tcPr>
            <w:tcW w:w="1023" w:type="dxa"/>
          </w:tcPr>
          <w:p w14:paraId="59EFB851" w14:textId="3EF2D788" w:rsidR="00AB4696" w:rsidRDefault="00AB4696" w:rsidP="00A724A6">
            <w:pPr>
              <w:pStyle w:val="ListeParagraf"/>
              <w:ind w:left="0"/>
              <w:rPr>
                <w:color w:val="000000" w:themeColor="text1"/>
              </w:rPr>
            </w:pPr>
            <w:r>
              <w:rPr>
                <w:color w:val="000000" w:themeColor="text1"/>
              </w:rPr>
              <w:t>C</w:t>
            </w:r>
          </w:p>
        </w:tc>
        <w:tc>
          <w:tcPr>
            <w:tcW w:w="1055" w:type="dxa"/>
          </w:tcPr>
          <w:p w14:paraId="5C7EF39C" w14:textId="4A4DF25A" w:rsidR="00AB4696" w:rsidRDefault="00AB4696" w:rsidP="00A724A6">
            <w:pPr>
              <w:pStyle w:val="ListeParagraf"/>
              <w:ind w:left="0"/>
              <w:rPr>
                <w:color w:val="000000" w:themeColor="text1"/>
              </w:rPr>
            </w:pPr>
            <w:r>
              <w:rPr>
                <w:color w:val="000000" w:themeColor="text1"/>
              </w:rPr>
              <w:t>-</w:t>
            </w:r>
          </w:p>
        </w:tc>
        <w:tc>
          <w:tcPr>
            <w:tcW w:w="990" w:type="dxa"/>
          </w:tcPr>
          <w:p w14:paraId="0D548F00" w14:textId="5DB834D7" w:rsidR="00AB4696" w:rsidRDefault="00AB4696" w:rsidP="00A724A6">
            <w:pPr>
              <w:pStyle w:val="ListeParagraf"/>
              <w:ind w:left="0"/>
              <w:rPr>
                <w:color w:val="000000" w:themeColor="text1"/>
              </w:rPr>
            </w:pPr>
            <w:r>
              <w:rPr>
                <w:color w:val="000000" w:themeColor="text1"/>
              </w:rPr>
              <w:t>+</w:t>
            </w:r>
          </w:p>
        </w:tc>
        <w:tc>
          <w:tcPr>
            <w:tcW w:w="1031" w:type="dxa"/>
          </w:tcPr>
          <w:p w14:paraId="7FFEB8FB" w14:textId="65245108" w:rsidR="00AB4696" w:rsidRDefault="00AB4696" w:rsidP="00A724A6">
            <w:pPr>
              <w:pStyle w:val="ListeParagraf"/>
              <w:ind w:left="0"/>
              <w:rPr>
                <w:color w:val="000000" w:themeColor="text1"/>
              </w:rPr>
            </w:pPr>
            <w:r>
              <w:rPr>
                <w:color w:val="000000" w:themeColor="text1"/>
              </w:rPr>
              <w:t>-</w:t>
            </w:r>
          </w:p>
        </w:tc>
        <w:tc>
          <w:tcPr>
            <w:tcW w:w="1023" w:type="dxa"/>
          </w:tcPr>
          <w:p w14:paraId="6A0B680C" w14:textId="2697FCD9" w:rsidR="00AB4696" w:rsidRDefault="00AB4696" w:rsidP="00A724A6">
            <w:pPr>
              <w:pStyle w:val="ListeParagraf"/>
              <w:ind w:left="0"/>
              <w:rPr>
                <w:color w:val="000000" w:themeColor="text1"/>
              </w:rPr>
            </w:pPr>
            <w:r>
              <w:rPr>
                <w:color w:val="000000" w:themeColor="text1"/>
              </w:rPr>
              <w:t>+/-</w:t>
            </w:r>
          </w:p>
        </w:tc>
      </w:tr>
      <w:tr w:rsidR="00AB4696" w14:paraId="15B912A5" w14:textId="77777777" w:rsidTr="00AB4696">
        <w:tc>
          <w:tcPr>
            <w:tcW w:w="1402" w:type="dxa"/>
          </w:tcPr>
          <w:p w14:paraId="65680DEF" w14:textId="7451C172" w:rsidR="00AB4696" w:rsidRDefault="00AB4696" w:rsidP="00A724A6">
            <w:pPr>
              <w:pStyle w:val="ListeParagraf"/>
              <w:ind w:left="0"/>
              <w:rPr>
                <w:color w:val="000000" w:themeColor="text1"/>
              </w:rPr>
            </w:pPr>
            <w:r>
              <w:rPr>
                <w:color w:val="000000" w:themeColor="text1"/>
              </w:rPr>
              <w:t>Pre-T</w:t>
            </w:r>
          </w:p>
        </w:tc>
        <w:tc>
          <w:tcPr>
            <w:tcW w:w="789" w:type="dxa"/>
          </w:tcPr>
          <w:p w14:paraId="63EB8455" w14:textId="472E4D46" w:rsidR="00AB4696" w:rsidRDefault="00AB4696" w:rsidP="00A724A6">
            <w:pPr>
              <w:pStyle w:val="ListeParagraf"/>
              <w:ind w:left="0"/>
              <w:rPr>
                <w:color w:val="000000" w:themeColor="text1"/>
              </w:rPr>
            </w:pPr>
            <w:r>
              <w:rPr>
                <w:color w:val="000000" w:themeColor="text1"/>
              </w:rPr>
              <w:t>-</w:t>
            </w:r>
          </w:p>
        </w:tc>
        <w:tc>
          <w:tcPr>
            <w:tcW w:w="1023" w:type="dxa"/>
          </w:tcPr>
          <w:p w14:paraId="5D408A0B" w14:textId="6D51E99C" w:rsidR="00AB4696" w:rsidRDefault="00AB4696" w:rsidP="00A724A6">
            <w:pPr>
              <w:pStyle w:val="ListeParagraf"/>
              <w:ind w:left="0"/>
              <w:rPr>
                <w:color w:val="000000" w:themeColor="text1"/>
              </w:rPr>
            </w:pPr>
            <w:r>
              <w:rPr>
                <w:color w:val="000000" w:themeColor="text1"/>
              </w:rPr>
              <w:t>+</w:t>
            </w:r>
          </w:p>
        </w:tc>
        <w:tc>
          <w:tcPr>
            <w:tcW w:w="1023" w:type="dxa"/>
          </w:tcPr>
          <w:p w14:paraId="0FFCA7AF" w14:textId="054352CD" w:rsidR="00AB4696" w:rsidRDefault="00AB4696" w:rsidP="00A724A6">
            <w:pPr>
              <w:pStyle w:val="ListeParagraf"/>
              <w:ind w:left="0"/>
              <w:rPr>
                <w:color w:val="000000" w:themeColor="text1"/>
              </w:rPr>
            </w:pPr>
            <w:r>
              <w:rPr>
                <w:color w:val="000000" w:themeColor="text1"/>
              </w:rPr>
              <w:t>C</w:t>
            </w:r>
          </w:p>
        </w:tc>
        <w:tc>
          <w:tcPr>
            <w:tcW w:w="1055" w:type="dxa"/>
          </w:tcPr>
          <w:p w14:paraId="6AB99653" w14:textId="2B574AF4" w:rsidR="00AB4696" w:rsidRDefault="00AB4696" w:rsidP="00A724A6">
            <w:pPr>
              <w:pStyle w:val="ListeParagraf"/>
              <w:ind w:left="0"/>
              <w:rPr>
                <w:color w:val="000000" w:themeColor="text1"/>
              </w:rPr>
            </w:pPr>
            <w:r>
              <w:rPr>
                <w:color w:val="000000" w:themeColor="text1"/>
              </w:rPr>
              <w:t>-</w:t>
            </w:r>
          </w:p>
        </w:tc>
        <w:tc>
          <w:tcPr>
            <w:tcW w:w="990" w:type="dxa"/>
          </w:tcPr>
          <w:p w14:paraId="6CC8DF5E" w14:textId="7ED00A9F" w:rsidR="00AB4696" w:rsidRDefault="00AB4696" w:rsidP="00A724A6">
            <w:pPr>
              <w:pStyle w:val="ListeParagraf"/>
              <w:ind w:left="0"/>
              <w:rPr>
                <w:color w:val="000000" w:themeColor="text1"/>
              </w:rPr>
            </w:pPr>
            <w:r>
              <w:rPr>
                <w:color w:val="000000" w:themeColor="text1"/>
              </w:rPr>
              <w:t>+</w:t>
            </w:r>
          </w:p>
        </w:tc>
        <w:tc>
          <w:tcPr>
            <w:tcW w:w="1031" w:type="dxa"/>
          </w:tcPr>
          <w:p w14:paraId="712E0498" w14:textId="3D457CE5" w:rsidR="00AB4696" w:rsidRDefault="00AB4696" w:rsidP="00A724A6">
            <w:pPr>
              <w:pStyle w:val="ListeParagraf"/>
              <w:ind w:left="0"/>
              <w:rPr>
                <w:color w:val="000000" w:themeColor="text1"/>
              </w:rPr>
            </w:pPr>
            <w:r>
              <w:rPr>
                <w:color w:val="000000" w:themeColor="text1"/>
              </w:rPr>
              <w:t>-</w:t>
            </w:r>
          </w:p>
        </w:tc>
        <w:tc>
          <w:tcPr>
            <w:tcW w:w="1023" w:type="dxa"/>
          </w:tcPr>
          <w:p w14:paraId="0D732758" w14:textId="2FCBE221" w:rsidR="00AB4696" w:rsidRDefault="00AB4696" w:rsidP="00A724A6">
            <w:pPr>
              <w:pStyle w:val="ListeParagraf"/>
              <w:ind w:left="0"/>
              <w:rPr>
                <w:color w:val="000000" w:themeColor="text1"/>
              </w:rPr>
            </w:pPr>
            <w:r>
              <w:rPr>
                <w:color w:val="000000" w:themeColor="text1"/>
              </w:rPr>
              <w:t>+/-</w:t>
            </w:r>
          </w:p>
        </w:tc>
      </w:tr>
      <w:tr w:rsidR="00AB4696" w14:paraId="56EF9D0F" w14:textId="77777777" w:rsidTr="00AB4696">
        <w:tc>
          <w:tcPr>
            <w:tcW w:w="1402" w:type="dxa"/>
          </w:tcPr>
          <w:p w14:paraId="780CF5D7" w14:textId="7338C062" w:rsidR="00AB4696" w:rsidRDefault="00AB4696" w:rsidP="00A724A6">
            <w:pPr>
              <w:pStyle w:val="ListeParagraf"/>
              <w:ind w:left="0"/>
              <w:rPr>
                <w:color w:val="000000" w:themeColor="text1"/>
              </w:rPr>
            </w:pPr>
            <w:r>
              <w:rPr>
                <w:color w:val="000000" w:themeColor="text1"/>
              </w:rPr>
              <w:t>Kortikal T</w:t>
            </w:r>
          </w:p>
        </w:tc>
        <w:tc>
          <w:tcPr>
            <w:tcW w:w="789" w:type="dxa"/>
          </w:tcPr>
          <w:p w14:paraId="24403843" w14:textId="565751FE" w:rsidR="00AB4696" w:rsidRDefault="00AB4696" w:rsidP="00A724A6">
            <w:pPr>
              <w:pStyle w:val="ListeParagraf"/>
              <w:ind w:left="0"/>
              <w:rPr>
                <w:color w:val="000000" w:themeColor="text1"/>
              </w:rPr>
            </w:pPr>
            <w:r>
              <w:rPr>
                <w:color w:val="000000" w:themeColor="text1"/>
              </w:rPr>
              <w:t>+</w:t>
            </w:r>
          </w:p>
        </w:tc>
        <w:tc>
          <w:tcPr>
            <w:tcW w:w="1023" w:type="dxa"/>
          </w:tcPr>
          <w:p w14:paraId="4EBB1F42" w14:textId="7A7BF383" w:rsidR="00AB4696" w:rsidRDefault="00AB4696" w:rsidP="00A724A6">
            <w:pPr>
              <w:pStyle w:val="ListeParagraf"/>
              <w:ind w:left="0"/>
              <w:rPr>
                <w:color w:val="000000" w:themeColor="text1"/>
              </w:rPr>
            </w:pPr>
            <w:r>
              <w:rPr>
                <w:color w:val="000000" w:themeColor="text1"/>
              </w:rPr>
              <w:t>+</w:t>
            </w:r>
          </w:p>
        </w:tc>
        <w:tc>
          <w:tcPr>
            <w:tcW w:w="1023" w:type="dxa"/>
          </w:tcPr>
          <w:p w14:paraId="7BAAF44D" w14:textId="02CC4683" w:rsidR="00AB4696" w:rsidRDefault="00AB4696" w:rsidP="00A724A6">
            <w:pPr>
              <w:pStyle w:val="ListeParagraf"/>
              <w:ind w:left="0"/>
              <w:rPr>
                <w:color w:val="000000" w:themeColor="text1"/>
              </w:rPr>
            </w:pPr>
            <w:r>
              <w:rPr>
                <w:color w:val="000000" w:themeColor="text1"/>
              </w:rPr>
              <w:t>C</w:t>
            </w:r>
          </w:p>
        </w:tc>
        <w:tc>
          <w:tcPr>
            <w:tcW w:w="1055" w:type="dxa"/>
          </w:tcPr>
          <w:p w14:paraId="686B1931" w14:textId="4EE335DA" w:rsidR="00AB4696" w:rsidRDefault="00AB4696" w:rsidP="00A724A6">
            <w:pPr>
              <w:pStyle w:val="ListeParagraf"/>
              <w:ind w:left="0"/>
              <w:rPr>
                <w:color w:val="000000" w:themeColor="text1"/>
              </w:rPr>
            </w:pPr>
            <w:r>
              <w:rPr>
                <w:color w:val="000000" w:themeColor="text1"/>
              </w:rPr>
              <w:t>+</w:t>
            </w:r>
          </w:p>
        </w:tc>
        <w:tc>
          <w:tcPr>
            <w:tcW w:w="990" w:type="dxa"/>
          </w:tcPr>
          <w:p w14:paraId="6FB26A4E" w14:textId="0E3472E5" w:rsidR="00AB4696" w:rsidRDefault="00AB4696" w:rsidP="00A724A6">
            <w:pPr>
              <w:pStyle w:val="ListeParagraf"/>
              <w:ind w:left="0"/>
              <w:rPr>
                <w:color w:val="000000" w:themeColor="text1"/>
              </w:rPr>
            </w:pPr>
            <w:r>
              <w:rPr>
                <w:color w:val="000000" w:themeColor="text1"/>
              </w:rPr>
              <w:t>+</w:t>
            </w:r>
          </w:p>
        </w:tc>
        <w:tc>
          <w:tcPr>
            <w:tcW w:w="1031" w:type="dxa"/>
          </w:tcPr>
          <w:p w14:paraId="2AA515B1" w14:textId="2DD520A1" w:rsidR="00AB4696" w:rsidRDefault="00AB4696" w:rsidP="00A724A6">
            <w:pPr>
              <w:pStyle w:val="ListeParagraf"/>
              <w:ind w:left="0"/>
              <w:rPr>
                <w:color w:val="000000" w:themeColor="text1"/>
              </w:rPr>
            </w:pPr>
            <w:r>
              <w:rPr>
                <w:color w:val="000000" w:themeColor="text1"/>
              </w:rPr>
              <w:t>+</w:t>
            </w:r>
          </w:p>
        </w:tc>
        <w:tc>
          <w:tcPr>
            <w:tcW w:w="1023" w:type="dxa"/>
          </w:tcPr>
          <w:p w14:paraId="1A3DFBBF" w14:textId="3BAEE8E6" w:rsidR="00AB4696" w:rsidRDefault="00AB4696" w:rsidP="00A724A6">
            <w:pPr>
              <w:pStyle w:val="ListeParagraf"/>
              <w:ind w:left="0"/>
              <w:rPr>
                <w:color w:val="000000" w:themeColor="text1"/>
              </w:rPr>
            </w:pPr>
            <w:r>
              <w:rPr>
                <w:color w:val="000000" w:themeColor="text1"/>
              </w:rPr>
              <w:t>-</w:t>
            </w:r>
          </w:p>
        </w:tc>
      </w:tr>
      <w:tr w:rsidR="00AB4696" w14:paraId="6EFCCC5B" w14:textId="77777777" w:rsidTr="00AB4696">
        <w:tc>
          <w:tcPr>
            <w:tcW w:w="1402" w:type="dxa"/>
          </w:tcPr>
          <w:p w14:paraId="7C8F9655" w14:textId="63395D38" w:rsidR="00AB4696" w:rsidRDefault="00AB4696" w:rsidP="00A724A6">
            <w:pPr>
              <w:pStyle w:val="ListeParagraf"/>
              <w:ind w:left="0"/>
              <w:rPr>
                <w:color w:val="000000" w:themeColor="text1"/>
              </w:rPr>
            </w:pPr>
            <w:r>
              <w:rPr>
                <w:color w:val="000000" w:themeColor="text1"/>
              </w:rPr>
              <w:t>Medüller T</w:t>
            </w:r>
          </w:p>
        </w:tc>
        <w:tc>
          <w:tcPr>
            <w:tcW w:w="789" w:type="dxa"/>
          </w:tcPr>
          <w:p w14:paraId="2B873A09" w14:textId="6EF155C3" w:rsidR="00AB4696" w:rsidRDefault="00AB4696" w:rsidP="00A724A6">
            <w:pPr>
              <w:pStyle w:val="ListeParagraf"/>
              <w:ind w:left="0"/>
              <w:rPr>
                <w:color w:val="000000" w:themeColor="text1"/>
              </w:rPr>
            </w:pPr>
            <w:r>
              <w:rPr>
                <w:color w:val="000000" w:themeColor="text1"/>
              </w:rPr>
              <w:t>-</w:t>
            </w:r>
          </w:p>
        </w:tc>
        <w:tc>
          <w:tcPr>
            <w:tcW w:w="1023" w:type="dxa"/>
          </w:tcPr>
          <w:p w14:paraId="7DCA282F" w14:textId="0039F3E3" w:rsidR="00AB4696" w:rsidRDefault="00AB4696" w:rsidP="00A724A6">
            <w:pPr>
              <w:pStyle w:val="ListeParagraf"/>
              <w:ind w:left="0"/>
              <w:rPr>
                <w:color w:val="000000" w:themeColor="text1"/>
              </w:rPr>
            </w:pPr>
            <w:r>
              <w:rPr>
                <w:color w:val="000000" w:themeColor="text1"/>
              </w:rPr>
              <w:t>+</w:t>
            </w:r>
          </w:p>
        </w:tc>
        <w:tc>
          <w:tcPr>
            <w:tcW w:w="1023" w:type="dxa"/>
          </w:tcPr>
          <w:p w14:paraId="4F7486C3" w14:textId="71B9C05E" w:rsidR="00AB4696" w:rsidRDefault="00AB4696" w:rsidP="00A724A6">
            <w:pPr>
              <w:pStyle w:val="ListeParagraf"/>
              <w:ind w:left="0"/>
              <w:rPr>
                <w:color w:val="000000" w:themeColor="text1"/>
              </w:rPr>
            </w:pPr>
            <w:r>
              <w:rPr>
                <w:color w:val="000000" w:themeColor="text1"/>
              </w:rPr>
              <w:t>C,S</w:t>
            </w:r>
          </w:p>
        </w:tc>
        <w:tc>
          <w:tcPr>
            <w:tcW w:w="1055" w:type="dxa"/>
          </w:tcPr>
          <w:p w14:paraId="4462D210" w14:textId="75767D77" w:rsidR="00AB4696" w:rsidRPr="00AB4696" w:rsidRDefault="00AB4696" w:rsidP="00A724A6">
            <w:pPr>
              <w:pStyle w:val="ListeParagraf"/>
              <w:ind w:left="0"/>
              <w:rPr>
                <w:color w:val="000000" w:themeColor="text1"/>
                <w:vertAlign w:val="superscript"/>
              </w:rPr>
            </w:pPr>
            <w:r>
              <w:rPr>
                <w:color w:val="000000" w:themeColor="text1"/>
                <w:vertAlign w:val="superscript"/>
              </w:rPr>
              <w:t>b</w:t>
            </w:r>
          </w:p>
        </w:tc>
        <w:tc>
          <w:tcPr>
            <w:tcW w:w="990" w:type="dxa"/>
          </w:tcPr>
          <w:p w14:paraId="1E2186E2" w14:textId="0D287BDC" w:rsidR="00AB4696" w:rsidRDefault="00AB4696" w:rsidP="00A724A6">
            <w:pPr>
              <w:pStyle w:val="ListeParagraf"/>
              <w:ind w:left="0"/>
              <w:rPr>
                <w:color w:val="000000" w:themeColor="text1"/>
              </w:rPr>
            </w:pPr>
            <w:r>
              <w:rPr>
                <w:color w:val="000000" w:themeColor="text1"/>
              </w:rPr>
              <w:t>+</w:t>
            </w:r>
          </w:p>
        </w:tc>
        <w:tc>
          <w:tcPr>
            <w:tcW w:w="1031" w:type="dxa"/>
          </w:tcPr>
          <w:p w14:paraId="07404221" w14:textId="6451863F" w:rsidR="00AB4696" w:rsidRPr="00AB4696" w:rsidRDefault="00AB4696" w:rsidP="00A724A6">
            <w:pPr>
              <w:pStyle w:val="ListeParagraf"/>
              <w:ind w:left="0"/>
              <w:rPr>
                <w:color w:val="000000" w:themeColor="text1"/>
                <w:vertAlign w:val="superscript"/>
              </w:rPr>
            </w:pPr>
            <w:r>
              <w:rPr>
                <w:color w:val="000000" w:themeColor="text1"/>
                <w:vertAlign w:val="superscript"/>
              </w:rPr>
              <w:t>b</w:t>
            </w:r>
          </w:p>
        </w:tc>
        <w:tc>
          <w:tcPr>
            <w:tcW w:w="1023" w:type="dxa"/>
          </w:tcPr>
          <w:p w14:paraId="47359E0A" w14:textId="4029A263" w:rsidR="00AB4696" w:rsidRDefault="00AB4696" w:rsidP="00A724A6">
            <w:pPr>
              <w:pStyle w:val="ListeParagraf"/>
              <w:ind w:left="0"/>
              <w:rPr>
                <w:color w:val="000000" w:themeColor="text1"/>
              </w:rPr>
            </w:pPr>
            <w:r>
              <w:rPr>
                <w:color w:val="000000" w:themeColor="text1"/>
              </w:rPr>
              <w:t>-</w:t>
            </w:r>
          </w:p>
        </w:tc>
      </w:tr>
    </w:tbl>
    <w:p w14:paraId="0E9A9B50" w14:textId="5157E400" w:rsidR="00AB4696" w:rsidRPr="00AB4696" w:rsidRDefault="00AB4696" w:rsidP="00A724A6">
      <w:pPr>
        <w:pStyle w:val="ListeParagraf"/>
        <w:rPr>
          <w:color w:val="000000" w:themeColor="text1"/>
          <w:sz w:val="20"/>
          <w:szCs w:val="20"/>
        </w:rPr>
      </w:pPr>
      <w:r w:rsidRPr="00AB4696">
        <w:rPr>
          <w:color w:val="000000" w:themeColor="text1"/>
          <w:sz w:val="20"/>
          <w:szCs w:val="20"/>
          <w:vertAlign w:val="superscript"/>
        </w:rPr>
        <w:t xml:space="preserve">a </w:t>
      </w:r>
      <w:r w:rsidRPr="00AB4696">
        <w:rPr>
          <w:color w:val="000000" w:themeColor="text1"/>
          <w:sz w:val="20"/>
          <w:szCs w:val="20"/>
        </w:rPr>
        <w:t>ETP (erken T prekürsörü): CD5-/düşük, CD1a-, CD8-, kök hücre miyeloid belirteçler+ (CD34,CD117,CD33, ve CD13)</w:t>
      </w:r>
    </w:p>
    <w:p w14:paraId="33D2C452" w14:textId="49A8E094" w:rsidR="00AB4696" w:rsidRPr="00AB4696" w:rsidRDefault="00AB4696" w:rsidP="00A724A6">
      <w:pPr>
        <w:pStyle w:val="ListeParagraf"/>
        <w:rPr>
          <w:color w:val="000000" w:themeColor="text1"/>
          <w:sz w:val="20"/>
          <w:szCs w:val="20"/>
        </w:rPr>
      </w:pPr>
      <w:r w:rsidRPr="00AB4696">
        <w:rPr>
          <w:color w:val="000000" w:themeColor="text1"/>
          <w:sz w:val="20"/>
          <w:szCs w:val="20"/>
          <w:vertAlign w:val="superscript"/>
        </w:rPr>
        <w:t>b</w:t>
      </w:r>
      <w:r w:rsidRPr="00AB4696">
        <w:rPr>
          <w:color w:val="000000" w:themeColor="text1"/>
          <w:sz w:val="20"/>
          <w:szCs w:val="20"/>
        </w:rPr>
        <w:t xml:space="preserve"> Medüller T lenfositler: CD4 ya da CD8’den birisi pozitif, ikisi bir arada değil.</w:t>
      </w:r>
    </w:p>
    <w:p w14:paraId="260930FB" w14:textId="76346A5A" w:rsidR="00AB4696" w:rsidRPr="00AB4696" w:rsidRDefault="00AB4696" w:rsidP="00A724A6">
      <w:pPr>
        <w:pStyle w:val="ListeParagraf"/>
        <w:rPr>
          <w:color w:val="000000" w:themeColor="text1"/>
          <w:sz w:val="20"/>
          <w:szCs w:val="20"/>
        </w:rPr>
      </w:pPr>
      <w:r w:rsidRPr="00AB4696">
        <w:rPr>
          <w:color w:val="000000" w:themeColor="text1"/>
          <w:sz w:val="20"/>
          <w:szCs w:val="20"/>
        </w:rPr>
        <w:t>C: Sitoplazmik, CyIg</w:t>
      </w:r>
      <w:r w:rsidRPr="00AB4696">
        <w:rPr>
          <w:color w:val="000000" w:themeColor="text1"/>
          <w:sz w:val="20"/>
          <w:szCs w:val="20"/>
        </w:rPr>
        <w:sym w:font="Symbol" w:char="F06D"/>
      </w:r>
      <w:r w:rsidRPr="00AB4696">
        <w:rPr>
          <w:color w:val="000000" w:themeColor="text1"/>
          <w:sz w:val="20"/>
          <w:szCs w:val="20"/>
        </w:rPr>
        <w:t xml:space="preserve">: sitoplazmik </w:t>
      </w:r>
      <w:r w:rsidRPr="00AB4696">
        <w:rPr>
          <w:color w:val="000000" w:themeColor="text1"/>
          <w:sz w:val="20"/>
          <w:szCs w:val="20"/>
        </w:rPr>
        <w:sym w:font="Symbol" w:char="F06D"/>
      </w:r>
      <w:r w:rsidRPr="00AB4696">
        <w:rPr>
          <w:color w:val="000000" w:themeColor="text1"/>
          <w:sz w:val="20"/>
          <w:szCs w:val="20"/>
        </w:rPr>
        <w:t xml:space="preserve"> ağır zincir, S: Yüzey</w:t>
      </w:r>
    </w:p>
    <w:p w14:paraId="5419A0A3" w14:textId="760D786D" w:rsidR="00AB4696" w:rsidRPr="00AB4696" w:rsidRDefault="00AB4696" w:rsidP="00A724A6">
      <w:pPr>
        <w:pStyle w:val="ListeParagraf"/>
        <w:rPr>
          <w:b/>
          <w:color w:val="000000" w:themeColor="text1"/>
          <w:sz w:val="20"/>
          <w:szCs w:val="20"/>
        </w:rPr>
      </w:pPr>
      <w:r w:rsidRPr="00B01BA7">
        <w:rPr>
          <w:color w:val="000000" w:themeColor="text1"/>
          <w:sz w:val="20"/>
          <w:szCs w:val="20"/>
        </w:rPr>
        <w:t>TdT</w:t>
      </w:r>
      <w:r w:rsidRPr="00AB4696">
        <w:rPr>
          <w:color w:val="000000" w:themeColor="text1"/>
          <w:sz w:val="20"/>
          <w:szCs w:val="20"/>
        </w:rPr>
        <w:t>: Terminal deoksinükleotidil transferaz</w:t>
      </w:r>
    </w:p>
    <w:p w14:paraId="5C44F2A6" w14:textId="77777777" w:rsidR="00AB4696" w:rsidRDefault="00AB4696" w:rsidP="00A724A6">
      <w:pPr>
        <w:pStyle w:val="ListeParagraf"/>
        <w:rPr>
          <w:color w:val="000000" w:themeColor="text1"/>
        </w:rPr>
      </w:pPr>
    </w:p>
    <w:p w14:paraId="2132935E" w14:textId="77777777" w:rsidR="00AB4696" w:rsidRDefault="00AB4696" w:rsidP="00A724A6">
      <w:pPr>
        <w:pStyle w:val="ListeParagraf"/>
        <w:rPr>
          <w:color w:val="000000" w:themeColor="text1"/>
        </w:rPr>
      </w:pPr>
    </w:p>
    <w:p w14:paraId="2C4C454E" w14:textId="77777777" w:rsidR="00AB4696" w:rsidRDefault="00AB4696" w:rsidP="00A724A6">
      <w:pPr>
        <w:pStyle w:val="ListeParagraf"/>
        <w:rPr>
          <w:color w:val="000000" w:themeColor="text1"/>
        </w:rPr>
      </w:pPr>
    </w:p>
    <w:p w14:paraId="050B981B" w14:textId="77777777" w:rsidR="00AB4696" w:rsidRDefault="00AB4696" w:rsidP="00A724A6">
      <w:pPr>
        <w:pStyle w:val="ListeParagraf"/>
        <w:rPr>
          <w:color w:val="000000" w:themeColor="text1"/>
        </w:rPr>
      </w:pPr>
    </w:p>
    <w:p w14:paraId="28D70453" w14:textId="66D5A385" w:rsidR="00AB4696" w:rsidRDefault="001741F9" w:rsidP="00A724A6">
      <w:pPr>
        <w:pStyle w:val="ListeParagraf"/>
        <w:rPr>
          <w:b/>
          <w:color w:val="000000" w:themeColor="text1"/>
        </w:rPr>
      </w:pPr>
      <w:r w:rsidRPr="001741F9">
        <w:rPr>
          <w:b/>
          <w:color w:val="000000" w:themeColor="text1"/>
        </w:rPr>
        <w:t>Prognostik Faktörler</w:t>
      </w:r>
    </w:p>
    <w:p w14:paraId="51F314D1" w14:textId="77777777" w:rsidR="001741F9" w:rsidRDefault="001741F9" w:rsidP="00A724A6">
      <w:pPr>
        <w:pStyle w:val="ListeParagraf"/>
        <w:rPr>
          <w:b/>
          <w:color w:val="000000" w:themeColor="text1"/>
        </w:rPr>
      </w:pPr>
    </w:p>
    <w:p w14:paraId="27DC8BF0" w14:textId="46A1BCE6" w:rsidR="00A62B9F" w:rsidRDefault="00A62B9F" w:rsidP="00A62B9F">
      <w:pPr>
        <w:rPr>
          <w:color w:val="000000" w:themeColor="text1"/>
        </w:rPr>
      </w:pPr>
      <w:r>
        <w:rPr>
          <w:b/>
          <w:color w:val="000000" w:themeColor="text1"/>
        </w:rPr>
        <w:t xml:space="preserve">        </w:t>
      </w:r>
      <w:r w:rsidRPr="00FB5B72">
        <w:rPr>
          <w:color w:val="000000" w:themeColor="text1"/>
        </w:rPr>
        <w:t xml:space="preserve">Tanımlanan risk faktörlerine sahip olmayan hastalar standart risk olarak tanımlanır. </w:t>
      </w:r>
      <w:r w:rsidR="00FB5B72" w:rsidRPr="00FB5B72">
        <w:rPr>
          <w:color w:val="000000" w:themeColor="text1"/>
        </w:rPr>
        <w:t>Farklı çalışma grupları bu risk faktörlerini birbirinden küçük farklılıklarla tanımlamış olmalarına rağmen, WBC sayısı, sitogenetik anomaliler (hipodiploidi, t(4;11), t(9;22)</w:t>
      </w:r>
      <w:r w:rsidR="006B0202">
        <w:rPr>
          <w:color w:val="000000" w:themeColor="text1"/>
        </w:rPr>
        <w:t>, kompleks anomaliler&gt;5 anomali)</w:t>
      </w:r>
      <w:r w:rsidR="00FB5B72" w:rsidRPr="00FB5B72">
        <w:rPr>
          <w:color w:val="000000" w:themeColor="text1"/>
        </w:rPr>
        <w:t xml:space="preserve">, 60 yaş üstü olmak, pro-B fenotipi, TR’a ulaşma süresinin 4 haftadan uzun sürmesi başlıca risk faktörleri olarak tanımlanmıştır. Bunlardan birine sahip olmak hastayı yüksek risk sınıfına sokar. </w:t>
      </w:r>
    </w:p>
    <w:p w14:paraId="2060ABCA" w14:textId="6EDCD59B" w:rsidR="00FB5B72" w:rsidRPr="00FB5B72" w:rsidRDefault="00FB5B72" w:rsidP="00A62B9F">
      <w:pPr>
        <w:rPr>
          <w:color w:val="000000" w:themeColor="text1"/>
        </w:rPr>
      </w:pPr>
      <w:r>
        <w:rPr>
          <w:color w:val="000000" w:themeColor="text1"/>
        </w:rPr>
        <w:tab/>
        <w:t>Buna rağmen, SR sınıfına giren hastaların dahi %40-50’si eninde sonunda nüks olmaktadır. Son yıllarda erken-T hücre fenotipi, CD20+liği, yeni tanımlanmış bazı gentik mutasyonlar (IKAROS, CRLF2, JAK2) kötü sonuçlar ile ilişkilendirilmiştir.</w:t>
      </w:r>
    </w:p>
    <w:p w14:paraId="2BFEBE42" w14:textId="77777777" w:rsidR="001741F9" w:rsidRPr="00FB5B72" w:rsidRDefault="001741F9" w:rsidP="00A724A6">
      <w:pPr>
        <w:pStyle w:val="ListeParagraf"/>
        <w:rPr>
          <w:color w:val="000000" w:themeColor="text1"/>
        </w:rPr>
      </w:pPr>
    </w:p>
    <w:p w14:paraId="7D1D4F49" w14:textId="6548CA7B" w:rsidR="001741F9" w:rsidRDefault="0043461F" w:rsidP="0043461F">
      <w:pPr>
        <w:rPr>
          <w:rFonts w:asciiTheme="minorHAnsi" w:hAnsiTheme="minorHAnsi" w:cstheme="minorBidi"/>
          <w:b/>
          <w:color w:val="000000" w:themeColor="text1"/>
          <w:lang w:eastAsia="en-US"/>
        </w:rPr>
      </w:pPr>
      <w:r w:rsidRPr="0043461F">
        <w:rPr>
          <w:rFonts w:asciiTheme="minorHAnsi" w:hAnsiTheme="minorHAnsi" w:cstheme="minorBidi"/>
          <w:b/>
          <w:color w:val="000000" w:themeColor="text1"/>
          <w:lang w:eastAsia="en-US"/>
        </w:rPr>
        <w:t>Tablo 3: Yüksek risk faktörleri</w:t>
      </w:r>
    </w:p>
    <w:tbl>
      <w:tblPr>
        <w:tblStyle w:val="TabloKlavuzu"/>
        <w:tblW w:w="0" w:type="auto"/>
        <w:tblLook w:val="04A0" w:firstRow="1" w:lastRow="0" w:firstColumn="1" w:lastColumn="0" w:noHBand="0" w:noVBand="1"/>
      </w:tblPr>
      <w:tblGrid>
        <w:gridCol w:w="4528"/>
        <w:gridCol w:w="4528"/>
      </w:tblGrid>
      <w:tr w:rsidR="00B01BA7" w14:paraId="267A5313" w14:textId="77777777" w:rsidTr="00B01BA7">
        <w:tc>
          <w:tcPr>
            <w:tcW w:w="4528" w:type="dxa"/>
          </w:tcPr>
          <w:p w14:paraId="53326BC5" w14:textId="41B06C33" w:rsidR="00B01BA7" w:rsidRDefault="00B01BA7" w:rsidP="0043461F">
            <w:pPr>
              <w:rPr>
                <w:color w:val="000000" w:themeColor="text1"/>
              </w:rPr>
            </w:pPr>
            <w:r>
              <w:rPr>
                <w:color w:val="000000" w:themeColor="text1"/>
              </w:rPr>
              <w:t>Risk Faktörleri</w:t>
            </w:r>
          </w:p>
        </w:tc>
        <w:tc>
          <w:tcPr>
            <w:tcW w:w="4528" w:type="dxa"/>
          </w:tcPr>
          <w:p w14:paraId="505D4DB1" w14:textId="77777777" w:rsidR="00B01BA7" w:rsidRDefault="00B01BA7" w:rsidP="0043461F">
            <w:pPr>
              <w:rPr>
                <w:color w:val="000000" w:themeColor="text1"/>
              </w:rPr>
            </w:pPr>
          </w:p>
        </w:tc>
      </w:tr>
      <w:tr w:rsidR="00B01BA7" w14:paraId="49BBB8E1" w14:textId="77777777" w:rsidTr="00B01BA7">
        <w:tc>
          <w:tcPr>
            <w:tcW w:w="4528" w:type="dxa"/>
          </w:tcPr>
          <w:p w14:paraId="5985E296" w14:textId="77777777" w:rsidR="00B01BA7" w:rsidRDefault="00B01BA7" w:rsidP="0043461F">
            <w:pPr>
              <w:rPr>
                <w:color w:val="000000" w:themeColor="text1"/>
              </w:rPr>
            </w:pPr>
            <w:r>
              <w:rPr>
                <w:color w:val="000000" w:themeColor="text1"/>
              </w:rPr>
              <w:t>Yaş</w:t>
            </w:r>
          </w:p>
          <w:p w14:paraId="4B533212" w14:textId="77777777" w:rsidR="00B01BA7" w:rsidRDefault="00B01BA7" w:rsidP="0043461F">
            <w:pPr>
              <w:rPr>
                <w:color w:val="000000" w:themeColor="text1"/>
              </w:rPr>
            </w:pPr>
          </w:p>
          <w:p w14:paraId="1D8BD8D6" w14:textId="77777777" w:rsidR="00B01BA7" w:rsidRDefault="00B01BA7" w:rsidP="0043461F">
            <w:pPr>
              <w:rPr>
                <w:color w:val="000000" w:themeColor="text1"/>
              </w:rPr>
            </w:pPr>
            <w:r>
              <w:rPr>
                <w:color w:val="000000" w:themeColor="text1"/>
              </w:rPr>
              <w:t>WBC (x10</w:t>
            </w:r>
            <w:r>
              <w:rPr>
                <w:color w:val="000000" w:themeColor="text1"/>
                <w:vertAlign w:val="superscript"/>
              </w:rPr>
              <w:t>9</w:t>
            </w:r>
            <w:r>
              <w:rPr>
                <w:color w:val="000000" w:themeColor="text1"/>
              </w:rPr>
              <w:t>/L)</w:t>
            </w:r>
          </w:p>
          <w:p w14:paraId="457A178A" w14:textId="77777777" w:rsidR="00B01BA7" w:rsidRDefault="00B01BA7" w:rsidP="0043461F">
            <w:pPr>
              <w:rPr>
                <w:color w:val="000000" w:themeColor="text1"/>
              </w:rPr>
            </w:pPr>
          </w:p>
          <w:p w14:paraId="59BAA6C0" w14:textId="689C0BB5" w:rsidR="00B01BA7" w:rsidRDefault="00B01BA7" w:rsidP="0043461F">
            <w:pPr>
              <w:rPr>
                <w:color w:val="000000" w:themeColor="text1"/>
              </w:rPr>
            </w:pPr>
            <w:r>
              <w:rPr>
                <w:color w:val="000000" w:themeColor="text1"/>
              </w:rPr>
              <w:t>İmmünfenotipik özellikler</w:t>
            </w:r>
          </w:p>
          <w:p w14:paraId="4821C910" w14:textId="77777777" w:rsidR="00B01BA7" w:rsidRDefault="00B01BA7" w:rsidP="0043461F">
            <w:pPr>
              <w:rPr>
                <w:color w:val="000000" w:themeColor="text1"/>
              </w:rPr>
            </w:pPr>
          </w:p>
          <w:p w14:paraId="77E5DB7A" w14:textId="77777777" w:rsidR="00B01BA7" w:rsidRDefault="00B01BA7" w:rsidP="0043461F">
            <w:pPr>
              <w:rPr>
                <w:color w:val="000000" w:themeColor="text1"/>
              </w:rPr>
            </w:pPr>
            <w:r>
              <w:rPr>
                <w:color w:val="000000" w:themeColor="text1"/>
              </w:rPr>
              <w:t>Sitogenetik (karyotip)</w:t>
            </w:r>
          </w:p>
          <w:p w14:paraId="2721C454" w14:textId="77777777" w:rsidR="00B01BA7" w:rsidRDefault="00B01BA7" w:rsidP="0043461F">
            <w:pPr>
              <w:rPr>
                <w:color w:val="000000" w:themeColor="text1"/>
              </w:rPr>
            </w:pPr>
          </w:p>
          <w:p w14:paraId="55757F0A" w14:textId="17978923" w:rsidR="00B01BA7" w:rsidRDefault="00B01BA7" w:rsidP="0043461F">
            <w:pPr>
              <w:rPr>
                <w:color w:val="000000" w:themeColor="text1"/>
              </w:rPr>
            </w:pPr>
            <w:r>
              <w:rPr>
                <w:color w:val="000000" w:themeColor="text1"/>
              </w:rPr>
              <w:t>Genetik</w:t>
            </w:r>
          </w:p>
          <w:p w14:paraId="59E3C9D8" w14:textId="77777777" w:rsidR="00B01BA7" w:rsidRDefault="00B01BA7" w:rsidP="0043461F">
            <w:pPr>
              <w:rPr>
                <w:color w:val="000000" w:themeColor="text1"/>
              </w:rPr>
            </w:pPr>
          </w:p>
          <w:p w14:paraId="12C33837" w14:textId="66505A2A" w:rsidR="00B01BA7" w:rsidRDefault="00B01BA7" w:rsidP="0043461F">
            <w:pPr>
              <w:rPr>
                <w:color w:val="000000" w:themeColor="text1"/>
              </w:rPr>
            </w:pPr>
            <w:r>
              <w:rPr>
                <w:color w:val="000000" w:themeColor="text1"/>
              </w:rPr>
              <w:lastRenderedPageBreak/>
              <w:t>Diğer</w:t>
            </w:r>
          </w:p>
          <w:p w14:paraId="1CA9F582" w14:textId="77777777" w:rsidR="00B01BA7" w:rsidRDefault="00B01BA7" w:rsidP="0043461F">
            <w:pPr>
              <w:rPr>
                <w:color w:val="000000" w:themeColor="text1"/>
              </w:rPr>
            </w:pPr>
          </w:p>
          <w:p w14:paraId="023B66DC" w14:textId="78B57C54" w:rsidR="00B01BA7" w:rsidRDefault="00B01BA7" w:rsidP="0043461F">
            <w:pPr>
              <w:rPr>
                <w:color w:val="000000" w:themeColor="text1"/>
              </w:rPr>
            </w:pPr>
            <w:r>
              <w:rPr>
                <w:color w:val="000000" w:themeColor="text1"/>
              </w:rPr>
              <w:t>Yanıt kriterleri</w:t>
            </w:r>
          </w:p>
          <w:p w14:paraId="656F8E8F" w14:textId="5D868110" w:rsidR="00B01BA7" w:rsidRDefault="00B01BA7" w:rsidP="0043461F">
            <w:pPr>
              <w:rPr>
                <w:color w:val="000000" w:themeColor="text1"/>
              </w:rPr>
            </w:pPr>
            <w:r>
              <w:rPr>
                <w:color w:val="000000" w:themeColor="text1"/>
              </w:rPr>
              <w:t xml:space="preserve">     TR’a ulaşma zamanı (kür sayısı)</w:t>
            </w:r>
          </w:p>
          <w:p w14:paraId="00E9F83C" w14:textId="2AE4C29B" w:rsidR="00B01BA7" w:rsidRDefault="00B01BA7" w:rsidP="0043461F">
            <w:pPr>
              <w:rPr>
                <w:color w:val="000000" w:themeColor="text1"/>
              </w:rPr>
            </w:pPr>
            <w:r>
              <w:rPr>
                <w:color w:val="000000" w:themeColor="text1"/>
              </w:rPr>
              <w:t xml:space="preserve">     MRD (moleküler/LAIP)</w:t>
            </w:r>
          </w:p>
          <w:p w14:paraId="3DD1B63A" w14:textId="48F78521" w:rsidR="00B01BA7" w:rsidRPr="00B01BA7" w:rsidRDefault="00B01BA7" w:rsidP="0043461F">
            <w:pPr>
              <w:rPr>
                <w:color w:val="000000" w:themeColor="text1"/>
              </w:rPr>
            </w:pPr>
          </w:p>
        </w:tc>
        <w:tc>
          <w:tcPr>
            <w:tcW w:w="4528" w:type="dxa"/>
          </w:tcPr>
          <w:p w14:paraId="51B4A957" w14:textId="77777777" w:rsidR="00B01BA7" w:rsidRDefault="00B01BA7" w:rsidP="0043461F">
            <w:pPr>
              <w:rPr>
                <w:color w:val="000000" w:themeColor="text1"/>
              </w:rPr>
            </w:pPr>
            <w:r>
              <w:rPr>
                <w:color w:val="000000" w:themeColor="text1"/>
              </w:rPr>
              <w:lastRenderedPageBreak/>
              <w:t>&gt;40/55/65</w:t>
            </w:r>
          </w:p>
          <w:p w14:paraId="1AD14F6A" w14:textId="77777777" w:rsidR="00B01BA7" w:rsidRDefault="00B01BA7" w:rsidP="0043461F">
            <w:pPr>
              <w:rPr>
                <w:color w:val="000000" w:themeColor="text1"/>
              </w:rPr>
            </w:pPr>
          </w:p>
          <w:p w14:paraId="6AE0630E" w14:textId="77777777" w:rsidR="00B01BA7" w:rsidRDefault="00B01BA7" w:rsidP="0043461F">
            <w:pPr>
              <w:rPr>
                <w:color w:val="000000" w:themeColor="text1"/>
              </w:rPr>
            </w:pPr>
            <w:r>
              <w:rPr>
                <w:color w:val="000000" w:themeColor="text1"/>
              </w:rPr>
              <w:t>&gt;30 (B-dizisi için)/&gt;100 (T-dizisi için)</w:t>
            </w:r>
          </w:p>
          <w:p w14:paraId="5ABB2D03" w14:textId="77777777" w:rsidR="00B01BA7" w:rsidRDefault="00B01BA7" w:rsidP="0043461F">
            <w:pPr>
              <w:rPr>
                <w:color w:val="000000" w:themeColor="text1"/>
              </w:rPr>
            </w:pPr>
          </w:p>
          <w:p w14:paraId="3B7EE0A0" w14:textId="0D7C2A27" w:rsidR="00B01BA7" w:rsidRDefault="00B01BA7" w:rsidP="0043461F">
            <w:pPr>
              <w:rPr>
                <w:color w:val="000000" w:themeColor="text1"/>
              </w:rPr>
            </w:pPr>
            <w:r>
              <w:rPr>
                <w:color w:val="000000" w:themeColor="text1"/>
              </w:rPr>
              <w:t>Pro-B/erken ve olgun T</w:t>
            </w:r>
          </w:p>
          <w:p w14:paraId="532B3A76" w14:textId="77777777" w:rsidR="00B01BA7" w:rsidRDefault="00B01BA7" w:rsidP="0043461F">
            <w:pPr>
              <w:rPr>
                <w:color w:val="000000" w:themeColor="text1"/>
              </w:rPr>
            </w:pPr>
          </w:p>
          <w:p w14:paraId="2B74C9C6" w14:textId="77777777" w:rsidR="00B01BA7" w:rsidRDefault="00B01BA7" w:rsidP="0043461F">
            <w:pPr>
              <w:rPr>
                <w:color w:val="000000" w:themeColor="text1"/>
              </w:rPr>
            </w:pPr>
            <w:r>
              <w:rPr>
                <w:color w:val="000000" w:themeColor="text1"/>
              </w:rPr>
              <w:t>Ph+/t(4;11)+/diğer kötü risk sitogenetikler</w:t>
            </w:r>
          </w:p>
          <w:p w14:paraId="3A6D8467" w14:textId="77777777" w:rsidR="00B01BA7" w:rsidRDefault="00B01BA7" w:rsidP="0043461F">
            <w:pPr>
              <w:rPr>
                <w:color w:val="000000" w:themeColor="text1"/>
              </w:rPr>
            </w:pPr>
          </w:p>
          <w:p w14:paraId="339FE256" w14:textId="77777777" w:rsidR="00B01BA7" w:rsidRDefault="00B01BA7" w:rsidP="0043461F">
            <w:pPr>
              <w:rPr>
                <w:color w:val="000000" w:themeColor="text1"/>
              </w:rPr>
            </w:pPr>
            <w:r>
              <w:rPr>
                <w:color w:val="000000" w:themeColor="text1"/>
              </w:rPr>
              <w:t>BCR-ABL1+/MLL+/PBX-E2A+</w:t>
            </w:r>
          </w:p>
          <w:p w14:paraId="17BAD85C" w14:textId="77777777" w:rsidR="00B01BA7" w:rsidRDefault="00B01BA7" w:rsidP="0043461F">
            <w:pPr>
              <w:rPr>
                <w:color w:val="000000" w:themeColor="text1"/>
              </w:rPr>
            </w:pPr>
          </w:p>
          <w:p w14:paraId="0C121A42" w14:textId="77777777" w:rsidR="00B01BA7" w:rsidRDefault="00B01BA7" w:rsidP="0043461F">
            <w:pPr>
              <w:rPr>
                <w:color w:val="000000" w:themeColor="text1"/>
              </w:rPr>
            </w:pPr>
            <w:r>
              <w:rPr>
                <w:color w:val="000000" w:themeColor="text1"/>
              </w:rPr>
              <w:lastRenderedPageBreak/>
              <w:t>SSS tutulumu</w:t>
            </w:r>
          </w:p>
          <w:p w14:paraId="2D86087B" w14:textId="77777777" w:rsidR="00B01BA7" w:rsidRDefault="00B01BA7" w:rsidP="0043461F">
            <w:pPr>
              <w:rPr>
                <w:color w:val="000000" w:themeColor="text1"/>
              </w:rPr>
            </w:pPr>
          </w:p>
          <w:p w14:paraId="0A001A7F" w14:textId="77777777" w:rsidR="00B01BA7" w:rsidRDefault="00B01BA7" w:rsidP="0043461F">
            <w:pPr>
              <w:rPr>
                <w:color w:val="000000" w:themeColor="text1"/>
              </w:rPr>
            </w:pPr>
          </w:p>
          <w:p w14:paraId="250A7F9D" w14:textId="77777777" w:rsidR="00B01BA7" w:rsidRDefault="00B01BA7" w:rsidP="0043461F">
            <w:pPr>
              <w:rPr>
                <w:color w:val="000000" w:themeColor="text1"/>
              </w:rPr>
            </w:pPr>
            <w:r>
              <w:rPr>
                <w:color w:val="000000" w:themeColor="text1"/>
              </w:rPr>
              <w:t>&gt;1 kür (geç TR)</w:t>
            </w:r>
          </w:p>
          <w:p w14:paraId="31489CFF" w14:textId="45D88CB0" w:rsidR="00B01BA7" w:rsidRPr="006B0202" w:rsidRDefault="00B01BA7" w:rsidP="0043461F">
            <w:pPr>
              <w:rPr>
                <w:color w:val="000000" w:themeColor="text1"/>
                <w:vertAlign w:val="superscript"/>
              </w:rPr>
            </w:pPr>
            <w:r>
              <w:rPr>
                <w:color w:val="000000" w:themeColor="text1"/>
              </w:rPr>
              <w:t>MRD+(post-indüksiyon)</w:t>
            </w:r>
            <w:r w:rsidR="006B0202">
              <w:rPr>
                <w:color w:val="000000" w:themeColor="text1"/>
                <w:vertAlign w:val="superscript"/>
              </w:rPr>
              <w:t>a</w:t>
            </w:r>
          </w:p>
        </w:tc>
      </w:tr>
    </w:tbl>
    <w:p w14:paraId="348CC62C" w14:textId="1BEFD5A8" w:rsidR="0043461F" w:rsidRDefault="00B01BA7" w:rsidP="0043461F">
      <w:pPr>
        <w:rPr>
          <w:color w:val="000000" w:themeColor="text1"/>
          <w:sz w:val="20"/>
          <w:szCs w:val="20"/>
        </w:rPr>
      </w:pPr>
      <w:r w:rsidRPr="00B01BA7">
        <w:rPr>
          <w:color w:val="000000" w:themeColor="text1"/>
          <w:sz w:val="20"/>
          <w:szCs w:val="20"/>
        </w:rPr>
        <w:lastRenderedPageBreak/>
        <w:t>TR: Tam remisyon, SSS: Santral sinir sistemi, MRD: Minimal Kalıntı Hastalık, LAIP: lösemi ilişkili immünfenotip</w:t>
      </w:r>
      <w:r w:rsidR="006B0202">
        <w:rPr>
          <w:color w:val="000000" w:themeColor="text1"/>
          <w:sz w:val="20"/>
          <w:szCs w:val="20"/>
        </w:rPr>
        <w:t xml:space="preserve">, </w:t>
      </w:r>
      <w:r w:rsidR="006B0202">
        <w:rPr>
          <w:color w:val="000000" w:themeColor="text1"/>
          <w:sz w:val="20"/>
          <w:szCs w:val="20"/>
          <w:vertAlign w:val="superscript"/>
        </w:rPr>
        <w:t xml:space="preserve">a </w:t>
      </w:r>
      <w:r w:rsidR="006B0202">
        <w:rPr>
          <w:color w:val="000000" w:themeColor="text1"/>
          <w:sz w:val="20"/>
          <w:szCs w:val="20"/>
        </w:rPr>
        <w:t>Farklı çalışmalar farklı dönüm noktalarını MRD için kullanır (</w:t>
      </w:r>
      <w:r w:rsidR="006B0202">
        <w:rPr>
          <w:color w:val="000000" w:themeColor="text1"/>
          <w:sz w:val="20"/>
          <w:szCs w:val="20"/>
        </w:rPr>
        <w:sym w:font="Symbol" w:char="F0B3"/>
      </w:r>
      <w:r w:rsidR="006B0202">
        <w:rPr>
          <w:color w:val="000000" w:themeColor="text1"/>
          <w:sz w:val="20"/>
          <w:szCs w:val="20"/>
        </w:rPr>
        <w:t>%0.01,tedavinin 3-6.ayında)</w:t>
      </w:r>
    </w:p>
    <w:p w14:paraId="56BEF64A" w14:textId="77777777" w:rsidR="00336BE0" w:rsidRPr="006B0202" w:rsidRDefault="00336BE0" w:rsidP="0043461F">
      <w:pPr>
        <w:rPr>
          <w:color w:val="000000" w:themeColor="text1"/>
          <w:sz w:val="20"/>
          <w:szCs w:val="20"/>
        </w:rPr>
      </w:pPr>
    </w:p>
    <w:p w14:paraId="6877AB4A" w14:textId="77777777" w:rsidR="001741F9" w:rsidRPr="00A724A6" w:rsidRDefault="001741F9" w:rsidP="00A724A6">
      <w:pPr>
        <w:pStyle w:val="ListeParagraf"/>
        <w:rPr>
          <w:color w:val="000000" w:themeColor="text1"/>
        </w:rPr>
      </w:pPr>
    </w:p>
    <w:p w14:paraId="421E0254" w14:textId="0693DBE0" w:rsidR="00121063" w:rsidRPr="00EB196C" w:rsidRDefault="00EB196C" w:rsidP="00403DA1">
      <w:pPr>
        <w:rPr>
          <w:b/>
          <w:color w:val="000000" w:themeColor="text1"/>
        </w:rPr>
      </w:pPr>
      <w:r w:rsidRPr="00EB196C">
        <w:rPr>
          <w:b/>
          <w:color w:val="000000" w:themeColor="text1"/>
        </w:rPr>
        <w:t>TEDAVİ</w:t>
      </w:r>
    </w:p>
    <w:p w14:paraId="144C25B6" w14:textId="3F1EDA8A" w:rsidR="00121063" w:rsidRDefault="000173C7" w:rsidP="00EB196C">
      <w:pPr>
        <w:pStyle w:val="ListeParagraf"/>
        <w:numPr>
          <w:ilvl w:val="0"/>
          <w:numId w:val="26"/>
        </w:numPr>
        <w:rPr>
          <w:color w:val="000000" w:themeColor="text1"/>
        </w:rPr>
      </w:pPr>
      <w:r>
        <w:rPr>
          <w:color w:val="000000" w:themeColor="text1"/>
        </w:rPr>
        <w:t>40</w:t>
      </w:r>
      <w:r w:rsidR="00DB4890">
        <w:rPr>
          <w:color w:val="000000" w:themeColor="text1"/>
        </w:rPr>
        <w:t xml:space="preserve"> yaş altı AYA (adölesan ve genç erişkin) hastaları ile ve uygun </w:t>
      </w:r>
      <w:r>
        <w:rPr>
          <w:color w:val="000000" w:themeColor="text1"/>
        </w:rPr>
        <w:t xml:space="preserve"> </w:t>
      </w:r>
      <w:r w:rsidR="00EB196C" w:rsidRPr="000173C7">
        <w:rPr>
          <w:color w:val="0070C0"/>
        </w:rPr>
        <w:t>60</w:t>
      </w:r>
      <w:r w:rsidR="00DB4890">
        <w:rPr>
          <w:color w:val="000000" w:themeColor="text1"/>
        </w:rPr>
        <w:t xml:space="preserve"> yaş altı Ph (-) </w:t>
      </w:r>
      <w:r w:rsidR="00EB196C" w:rsidRPr="00EB196C">
        <w:rPr>
          <w:color w:val="000000" w:themeColor="text1"/>
        </w:rPr>
        <w:t xml:space="preserve"> hastalar pediyatik temelli protokoller ile tedavi edilmeli</w:t>
      </w:r>
    </w:p>
    <w:p w14:paraId="6CB3C314" w14:textId="4BE03B51" w:rsidR="00EB196C" w:rsidRDefault="00EB196C" w:rsidP="00EB196C">
      <w:pPr>
        <w:pStyle w:val="ListeParagraf"/>
        <w:numPr>
          <w:ilvl w:val="0"/>
          <w:numId w:val="28"/>
        </w:numPr>
        <w:rPr>
          <w:color w:val="000000" w:themeColor="text1"/>
        </w:rPr>
      </w:pPr>
      <w:r>
        <w:rPr>
          <w:color w:val="000000" w:themeColor="text1"/>
        </w:rPr>
        <w:t>Modifiye Dana Farber, BFM-benzeri, GMALL</w:t>
      </w:r>
      <w:r w:rsidR="00380D7C">
        <w:rPr>
          <w:color w:val="000000" w:themeColor="text1"/>
        </w:rPr>
        <w:t xml:space="preserve"> 06/99, GRAALL</w:t>
      </w:r>
    </w:p>
    <w:p w14:paraId="0E828BE3" w14:textId="631B7C9C" w:rsidR="00EB196C" w:rsidRDefault="00EB196C" w:rsidP="00EB196C">
      <w:pPr>
        <w:pStyle w:val="ListeParagraf"/>
        <w:numPr>
          <w:ilvl w:val="0"/>
          <w:numId w:val="28"/>
        </w:numPr>
        <w:rPr>
          <w:color w:val="000000" w:themeColor="text1"/>
        </w:rPr>
      </w:pPr>
      <w:r>
        <w:rPr>
          <w:color w:val="000000" w:themeColor="text1"/>
        </w:rPr>
        <w:t>L-asparaginaz tedavisi için uygun olmayan erişkin hastalara Hyper-CVAD tedavisi uygulanabilir.</w:t>
      </w:r>
    </w:p>
    <w:p w14:paraId="3088641C" w14:textId="44E88F3E" w:rsidR="00EB196C" w:rsidRDefault="00EB196C" w:rsidP="00EB196C">
      <w:pPr>
        <w:pStyle w:val="ListeParagraf"/>
        <w:numPr>
          <w:ilvl w:val="0"/>
          <w:numId w:val="26"/>
        </w:numPr>
        <w:rPr>
          <w:color w:val="000000" w:themeColor="text1"/>
        </w:rPr>
      </w:pPr>
      <w:r>
        <w:rPr>
          <w:color w:val="000000" w:themeColor="text1"/>
        </w:rPr>
        <w:t>60-75 yaş arası k</w:t>
      </w:r>
      <w:r w:rsidR="000173C7">
        <w:rPr>
          <w:color w:val="000000" w:themeColor="text1"/>
        </w:rPr>
        <w:t>o-morbiditesi olan olgular ve 7</w:t>
      </w:r>
      <w:r>
        <w:rPr>
          <w:color w:val="000000" w:themeColor="text1"/>
        </w:rPr>
        <w:t>5 yaş üstü olgularda daha az toksik rejimler seçilebilir: vinkristin+ kortikosteroid+/- düşük doz L-asparaginaz</w:t>
      </w:r>
    </w:p>
    <w:p w14:paraId="686F90E7" w14:textId="77777777" w:rsidR="008C0B41" w:rsidRDefault="008C0B41" w:rsidP="008C0B41">
      <w:pPr>
        <w:rPr>
          <w:color w:val="000000" w:themeColor="text1"/>
        </w:rPr>
      </w:pPr>
    </w:p>
    <w:p w14:paraId="4557D956" w14:textId="7B6C2CDD" w:rsidR="008C0B41" w:rsidRDefault="008C0B41" w:rsidP="008C0B41">
      <w:pPr>
        <w:rPr>
          <w:color w:val="000000" w:themeColor="text1"/>
        </w:rPr>
      </w:pPr>
      <w:r w:rsidRPr="008C0B41">
        <w:rPr>
          <w:color w:val="FF0000"/>
        </w:rPr>
        <w:t>Öneri:</w:t>
      </w:r>
    </w:p>
    <w:p w14:paraId="28CC2A19" w14:textId="03728969" w:rsidR="000173C7" w:rsidRDefault="000173C7" w:rsidP="008C0B41">
      <w:pPr>
        <w:rPr>
          <w:color w:val="000000" w:themeColor="text1"/>
        </w:rPr>
      </w:pPr>
      <w:r>
        <w:rPr>
          <w:color w:val="000000" w:themeColor="text1"/>
        </w:rPr>
        <w:t>ALL tedavisinde pek çok protokol olup b</w:t>
      </w:r>
      <w:r w:rsidR="00E65154">
        <w:rPr>
          <w:color w:val="000000" w:themeColor="text1"/>
        </w:rPr>
        <w:t>u protokollerin karşılaştırıldı</w:t>
      </w:r>
      <w:r>
        <w:rPr>
          <w:color w:val="000000" w:themeColor="text1"/>
        </w:rPr>
        <w:t>ğı randomize kontrollü prospektif bir çalışma bulunmamaktadır. Bu nedenle öneriler doğrultusunda merkezlerin en iyi deneyiminin olduğu protokoll</w:t>
      </w:r>
      <w:r w:rsidR="008E7EBB">
        <w:rPr>
          <w:color w:val="000000" w:themeColor="text1"/>
        </w:rPr>
        <w:t>erin seçilmesi uygun olacaktır.</w:t>
      </w:r>
    </w:p>
    <w:p w14:paraId="56399DEB" w14:textId="00021B17" w:rsidR="008C0B41" w:rsidRDefault="008C0B41" w:rsidP="008C0B41">
      <w:pPr>
        <w:rPr>
          <w:color w:val="000000" w:themeColor="text1"/>
        </w:rPr>
      </w:pPr>
      <w:r>
        <w:rPr>
          <w:color w:val="000000" w:themeColor="text1"/>
        </w:rPr>
        <w:t>Ph (-) CD 20 (+) B-ALL olgularında tedavi protokollerine Rituximab eklenmesi yararlı olabilir.</w:t>
      </w:r>
    </w:p>
    <w:p w14:paraId="5C0E3C09" w14:textId="77777777" w:rsidR="008E7EBB" w:rsidRDefault="008E7EBB" w:rsidP="008C0B41">
      <w:pPr>
        <w:rPr>
          <w:color w:val="000000" w:themeColor="text1"/>
        </w:rPr>
      </w:pPr>
    </w:p>
    <w:p w14:paraId="11B42504" w14:textId="77777777" w:rsidR="00987B3C" w:rsidRPr="008C0B41" w:rsidRDefault="00987B3C" w:rsidP="008C0B41">
      <w:pPr>
        <w:rPr>
          <w:color w:val="000000" w:themeColor="text1"/>
        </w:rPr>
      </w:pPr>
    </w:p>
    <w:p w14:paraId="1B884673" w14:textId="5689C09F" w:rsidR="00EB196C" w:rsidRPr="000803B1" w:rsidRDefault="000803B1" w:rsidP="00EB196C">
      <w:pPr>
        <w:rPr>
          <w:b/>
          <w:color w:val="000000" w:themeColor="text1"/>
        </w:rPr>
      </w:pPr>
      <w:r w:rsidRPr="000803B1">
        <w:rPr>
          <w:b/>
          <w:color w:val="000000" w:themeColor="text1"/>
        </w:rPr>
        <w:t xml:space="preserve">SSS profilaksisi/ </w:t>
      </w:r>
      <w:r w:rsidR="00F229E8" w:rsidRPr="000803B1">
        <w:rPr>
          <w:b/>
          <w:color w:val="000000" w:themeColor="text1"/>
        </w:rPr>
        <w:t>İdame tedavisi:</w:t>
      </w:r>
    </w:p>
    <w:p w14:paraId="6200FFF5" w14:textId="4CCCC2AC" w:rsidR="00F229E8" w:rsidRDefault="00F229E8" w:rsidP="00EB196C">
      <w:pPr>
        <w:rPr>
          <w:color w:val="000000" w:themeColor="text1"/>
        </w:rPr>
      </w:pPr>
      <w:r>
        <w:rPr>
          <w:color w:val="000000" w:themeColor="text1"/>
        </w:rPr>
        <w:t>Tüm tedavi rejimleri sistemik tedaviye ek olarak İT SSS profilaksisi içermelidir:</w:t>
      </w:r>
    </w:p>
    <w:p w14:paraId="4C67FFCA" w14:textId="7C6463D9" w:rsidR="00F229E8" w:rsidRDefault="00F229E8" w:rsidP="00EB196C">
      <w:pPr>
        <w:rPr>
          <w:color w:val="000000" w:themeColor="text1"/>
        </w:rPr>
      </w:pPr>
      <w:r>
        <w:rPr>
          <w:color w:val="000000" w:themeColor="text1"/>
        </w:rPr>
        <w:t>İT mtx: 12.5 mg veya Ara-C 100 mg veya üçlü : MTX 12 mg + Ara-C 40 mg+ korumasız dexametazon 4 mg</w:t>
      </w:r>
      <w:r w:rsidR="00E350A4">
        <w:rPr>
          <w:color w:val="000000" w:themeColor="text1"/>
        </w:rPr>
        <w:t xml:space="preserve">, aylık vinkristin (2 mg) ve metilprednisolon </w:t>
      </w:r>
    </w:p>
    <w:p w14:paraId="3FB9D0BD" w14:textId="427B1175" w:rsidR="000803B1" w:rsidRDefault="00E350A4" w:rsidP="00EB196C">
      <w:pPr>
        <w:rPr>
          <w:color w:val="000000" w:themeColor="text1"/>
        </w:rPr>
      </w:pPr>
      <w:r>
        <w:rPr>
          <w:color w:val="000000" w:themeColor="text1"/>
        </w:rPr>
        <w:t xml:space="preserve">Seçilen rejimlere göre </w:t>
      </w:r>
      <w:r w:rsidR="000803B1">
        <w:rPr>
          <w:color w:val="000000" w:themeColor="text1"/>
        </w:rPr>
        <w:t>24</w:t>
      </w:r>
      <w:r>
        <w:rPr>
          <w:color w:val="000000" w:themeColor="text1"/>
        </w:rPr>
        <w:t>-36</w:t>
      </w:r>
      <w:r w:rsidR="000803B1">
        <w:rPr>
          <w:color w:val="000000" w:themeColor="text1"/>
        </w:rPr>
        <w:t xml:space="preserve"> ay: Haftalık 20 mg/m</w:t>
      </w:r>
      <w:r w:rsidR="000803B1" w:rsidRPr="000803B1">
        <w:rPr>
          <w:color w:val="000000" w:themeColor="text1"/>
          <w:vertAlign w:val="superscript"/>
        </w:rPr>
        <w:t>2</w:t>
      </w:r>
      <w:r w:rsidR="000803B1">
        <w:rPr>
          <w:color w:val="000000" w:themeColor="text1"/>
          <w:vertAlign w:val="superscript"/>
        </w:rPr>
        <w:t xml:space="preserve"> </w:t>
      </w:r>
      <w:r w:rsidR="000803B1">
        <w:rPr>
          <w:color w:val="000000" w:themeColor="text1"/>
        </w:rPr>
        <w:t>MTX + 6-MP (2-3 mg/ kg)</w:t>
      </w:r>
    </w:p>
    <w:p w14:paraId="317B97EA" w14:textId="48F0AD3A" w:rsidR="005D38F4" w:rsidRPr="000803B1" w:rsidRDefault="005D38F4" w:rsidP="00EB196C">
      <w:pPr>
        <w:rPr>
          <w:color w:val="000000" w:themeColor="text1"/>
        </w:rPr>
      </w:pPr>
      <w:r>
        <w:rPr>
          <w:color w:val="000000" w:themeColor="text1"/>
        </w:rPr>
        <w:t>Olgun B-ALL (burkit lenfoma/lösemi)’de idame önerilmez.</w:t>
      </w:r>
    </w:p>
    <w:p w14:paraId="46FCB862" w14:textId="77777777" w:rsidR="00987B3C" w:rsidRPr="00EB196C" w:rsidRDefault="00987B3C" w:rsidP="00EB196C">
      <w:pPr>
        <w:rPr>
          <w:color w:val="000000" w:themeColor="text1"/>
        </w:rPr>
      </w:pPr>
    </w:p>
    <w:p w14:paraId="2800E367" w14:textId="5C4343AE" w:rsidR="00EB196C" w:rsidRDefault="00EB196C" w:rsidP="00EB196C">
      <w:pPr>
        <w:ind w:left="360"/>
        <w:rPr>
          <w:b/>
          <w:color w:val="000000" w:themeColor="text1"/>
        </w:rPr>
      </w:pPr>
      <w:r w:rsidRPr="00EB196C">
        <w:rPr>
          <w:b/>
          <w:color w:val="000000" w:themeColor="text1"/>
        </w:rPr>
        <w:t>Ph(+) ALL tedavisi</w:t>
      </w:r>
    </w:p>
    <w:p w14:paraId="7D59F36E" w14:textId="77777777" w:rsidR="003B69A7" w:rsidRDefault="003B69A7" w:rsidP="003B69A7">
      <w:pPr>
        <w:rPr>
          <w:b/>
          <w:color w:val="000000" w:themeColor="text1"/>
        </w:rPr>
      </w:pPr>
    </w:p>
    <w:p w14:paraId="14D9E3E6" w14:textId="4C1EC59D" w:rsidR="00EB196C" w:rsidRDefault="003B69A7" w:rsidP="0044102B">
      <w:pPr>
        <w:rPr>
          <w:color w:val="000000" w:themeColor="text1"/>
        </w:rPr>
      </w:pPr>
      <w:r w:rsidRPr="003B69A7">
        <w:rPr>
          <w:color w:val="000000" w:themeColor="text1"/>
        </w:rPr>
        <w:t xml:space="preserve">Çocuklarda nadir </w:t>
      </w:r>
      <w:r>
        <w:rPr>
          <w:color w:val="000000" w:themeColor="text1"/>
        </w:rPr>
        <w:t xml:space="preserve">görülürken (%3), erişkinlerde %25 saptanır. </w:t>
      </w:r>
      <w:r w:rsidR="009075A3">
        <w:rPr>
          <w:color w:val="000000" w:themeColor="text1"/>
        </w:rPr>
        <w:t>Ph(+) ALL’nin prognozu Ph(-) B hücreli ALL ile karşılaştırıldığında kötü olmakla birlikte son yıllarda kemoterapilere eklenen tirozin kinaz inhibitörleri ile aradaki bu fark kapanmaya başlamıştır.</w:t>
      </w:r>
      <w:r w:rsidR="0044102B">
        <w:rPr>
          <w:color w:val="000000" w:themeColor="text1"/>
        </w:rPr>
        <w:t xml:space="preserve"> TKİ öncesinde 3 yıllık OS %20 altında iken , TKİ sonrası dönemde %36-44’lere çıkmıştır.</w:t>
      </w:r>
    </w:p>
    <w:p w14:paraId="538FF35F" w14:textId="77777777" w:rsidR="0044102B" w:rsidRPr="0044102B" w:rsidRDefault="0044102B" w:rsidP="0044102B">
      <w:pPr>
        <w:rPr>
          <w:color w:val="000000" w:themeColor="text1"/>
        </w:rPr>
      </w:pPr>
    </w:p>
    <w:p w14:paraId="7B829962" w14:textId="2B0C1B90" w:rsidR="00EB196C" w:rsidRPr="0044102B" w:rsidRDefault="00380D7C" w:rsidP="0044102B">
      <w:pPr>
        <w:pStyle w:val="ListeParagraf"/>
        <w:numPr>
          <w:ilvl w:val="0"/>
          <w:numId w:val="33"/>
        </w:numPr>
        <w:rPr>
          <w:color w:val="000000" w:themeColor="text1"/>
        </w:rPr>
      </w:pPr>
      <w:r w:rsidRPr="0044102B">
        <w:rPr>
          <w:color w:val="000000" w:themeColor="text1"/>
        </w:rPr>
        <w:t>Kullanılan kemoterapi protokolüne TKİ (ilk sıra imatinib mesilat 400-600 mg) eklenmelidir.</w:t>
      </w:r>
    </w:p>
    <w:p w14:paraId="3E675E73" w14:textId="5253F094" w:rsidR="00380D7C" w:rsidRPr="0044102B" w:rsidRDefault="00380D7C" w:rsidP="0044102B">
      <w:pPr>
        <w:pStyle w:val="ListeParagraf"/>
        <w:numPr>
          <w:ilvl w:val="0"/>
          <w:numId w:val="33"/>
        </w:numPr>
        <w:rPr>
          <w:color w:val="FF0000"/>
        </w:rPr>
      </w:pPr>
      <w:r w:rsidRPr="0044102B">
        <w:rPr>
          <w:color w:val="000000" w:themeColor="text1"/>
        </w:rPr>
        <w:t xml:space="preserve">İmatinib intoleran ya da yeterli yanıt elde edilemeyen hastalarda ikinci jenerasyon olan dasatinibe geçilmelidir. Tanı anında SSS tutulumu var ise ilk tercih dasatinib olmalıdır </w:t>
      </w:r>
      <w:r w:rsidRPr="0044102B">
        <w:rPr>
          <w:color w:val="FF0000"/>
        </w:rPr>
        <w:t>(indikasyon dışı onam ile).</w:t>
      </w:r>
    </w:p>
    <w:p w14:paraId="46141C28" w14:textId="397BFEE1" w:rsidR="00380D7C" w:rsidRPr="0044102B" w:rsidRDefault="00380D7C" w:rsidP="0044102B">
      <w:pPr>
        <w:pStyle w:val="ListeParagraf"/>
        <w:numPr>
          <w:ilvl w:val="0"/>
          <w:numId w:val="33"/>
        </w:numPr>
        <w:rPr>
          <w:color w:val="000000" w:themeColor="text1"/>
        </w:rPr>
      </w:pPr>
      <w:r w:rsidRPr="0044102B">
        <w:rPr>
          <w:color w:val="000000" w:themeColor="text1"/>
        </w:rPr>
        <w:t>60 yaş üstü olgularda TKİ + Vinkristin + kortikosteroidler ile yükse TR oranları elde edilebilir.</w:t>
      </w:r>
    </w:p>
    <w:p w14:paraId="7F2BE5AC" w14:textId="6A0F9913" w:rsidR="00380D7C" w:rsidRDefault="00380D7C" w:rsidP="0092417E">
      <w:pPr>
        <w:pStyle w:val="ListeParagraf"/>
        <w:numPr>
          <w:ilvl w:val="0"/>
          <w:numId w:val="33"/>
        </w:numPr>
        <w:rPr>
          <w:color w:val="000000" w:themeColor="text1"/>
        </w:rPr>
      </w:pPr>
      <w:r w:rsidRPr="0092417E">
        <w:rPr>
          <w:color w:val="000000" w:themeColor="text1"/>
        </w:rPr>
        <w:t>Post-indüksiyon tedavisi bireyselleştirilmeli, hastanın performansına göre yönetilmelidir. TKİ ise mutlaka devam edilmelidir.</w:t>
      </w:r>
    </w:p>
    <w:p w14:paraId="7D9B096C" w14:textId="146CE5E2" w:rsidR="00F65174" w:rsidRDefault="003D39EB" w:rsidP="00F65174">
      <w:pPr>
        <w:pStyle w:val="ListeParagraf"/>
        <w:rPr>
          <w:color w:val="000000" w:themeColor="text1"/>
        </w:rPr>
      </w:pPr>
      <w:r>
        <w:rPr>
          <w:color w:val="000000" w:themeColor="text1"/>
        </w:rPr>
        <w:lastRenderedPageBreak/>
        <w:t>60 yaş altı olgular moleküler remisyon sonrası ALLO’ya yönlendirilmelidir</w:t>
      </w:r>
      <w:r w:rsidR="00F65174">
        <w:rPr>
          <w:color w:val="000000" w:themeColor="text1"/>
        </w:rPr>
        <w:t>.</w:t>
      </w:r>
      <w:r w:rsidR="00F65174" w:rsidRPr="00F65174">
        <w:rPr>
          <w:color w:val="000000" w:themeColor="text1"/>
        </w:rPr>
        <w:t xml:space="preserve"> </w:t>
      </w:r>
      <w:r w:rsidR="00F65174">
        <w:rPr>
          <w:color w:val="000000" w:themeColor="text1"/>
        </w:rPr>
        <w:t xml:space="preserve">Hastalar yakın hastalık progresyonu açısından seri PCR izlemine alınmalıdır. </w:t>
      </w:r>
    </w:p>
    <w:p w14:paraId="3FC5702B" w14:textId="77777777" w:rsidR="00F65174" w:rsidRPr="00F65174" w:rsidRDefault="00F65174" w:rsidP="00F65174">
      <w:pPr>
        <w:pStyle w:val="ListeParagraf"/>
        <w:numPr>
          <w:ilvl w:val="0"/>
          <w:numId w:val="33"/>
        </w:numPr>
        <w:rPr>
          <w:color w:val="000000" w:themeColor="text1"/>
        </w:rPr>
      </w:pPr>
      <w:r w:rsidRPr="00F65174">
        <w:rPr>
          <w:color w:val="000000" w:themeColor="text1"/>
        </w:rPr>
        <w:t>Allojenik kök hücre nakli sonrasında TKİ ile idame tedavisi en az 2 yıl devam etmeli, 3 ayda bir PCR ile moleküler izlem yapılmalıdır.</w:t>
      </w:r>
    </w:p>
    <w:p w14:paraId="5877B9A8" w14:textId="660D6BE6" w:rsidR="000B5C68" w:rsidRDefault="000B5C68" w:rsidP="00F65174">
      <w:pPr>
        <w:pStyle w:val="ListeParagraf"/>
        <w:rPr>
          <w:color w:val="000000" w:themeColor="text1"/>
        </w:rPr>
      </w:pPr>
    </w:p>
    <w:p w14:paraId="041A5114" w14:textId="77777777" w:rsidR="000B5C68" w:rsidRDefault="000B5C68" w:rsidP="00EB196C">
      <w:pPr>
        <w:ind w:left="360"/>
        <w:rPr>
          <w:color w:val="000000" w:themeColor="text1"/>
        </w:rPr>
      </w:pPr>
    </w:p>
    <w:p w14:paraId="547B1D87" w14:textId="6F40544B" w:rsidR="00380D7C" w:rsidRPr="000B5C68" w:rsidRDefault="00380D7C" w:rsidP="00380D7C">
      <w:pPr>
        <w:ind w:left="360"/>
        <w:rPr>
          <w:b/>
          <w:color w:val="000000" w:themeColor="text1"/>
        </w:rPr>
      </w:pPr>
      <w:r w:rsidRPr="000B5C68">
        <w:rPr>
          <w:b/>
          <w:color w:val="000000" w:themeColor="text1"/>
        </w:rPr>
        <w:t>ALLOJENİK KÖK HÜCRE TRANSPLANTASYONU:</w:t>
      </w:r>
    </w:p>
    <w:p w14:paraId="03A515C2" w14:textId="332D5949" w:rsidR="00380D7C" w:rsidRPr="00B309CB" w:rsidRDefault="00380D7C" w:rsidP="00B309CB">
      <w:pPr>
        <w:pStyle w:val="ListeParagraf"/>
        <w:numPr>
          <w:ilvl w:val="0"/>
          <w:numId w:val="30"/>
        </w:numPr>
        <w:rPr>
          <w:color w:val="000000" w:themeColor="text1"/>
        </w:rPr>
      </w:pPr>
      <w:r w:rsidRPr="00B309CB">
        <w:rPr>
          <w:color w:val="000000" w:themeColor="text1"/>
        </w:rPr>
        <w:t>Ph(-) olgularda aşağıdaki risk faktörleri yok ise TR1’de allojenik kök hücre nakli rutin yapılmamalıdır:</w:t>
      </w:r>
    </w:p>
    <w:p w14:paraId="11A976EA" w14:textId="3B99CF5E" w:rsidR="00380D7C" w:rsidRDefault="00A31838" w:rsidP="00380D7C">
      <w:pPr>
        <w:pStyle w:val="ListeParagraf"/>
        <w:numPr>
          <w:ilvl w:val="0"/>
          <w:numId w:val="29"/>
        </w:numPr>
        <w:rPr>
          <w:color w:val="000000" w:themeColor="text1"/>
        </w:rPr>
      </w:pPr>
      <w:r>
        <w:rPr>
          <w:color w:val="000000" w:themeColor="text1"/>
        </w:rPr>
        <w:t xml:space="preserve">MLL rearanjmanı </w:t>
      </w:r>
      <w:r w:rsidR="003711D1">
        <w:rPr>
          <w:color w:val="000000" w:themeColor="text1"/>
        </w:rPr>
        <w:t xml:space="preserve">ile birlikte </w:t>
      </w:r>
      <w:r w:rsidR="00380D7C">
        <w:rPr>
          <w:color w:val="000000" w:themeColor="text1"/>
        </w:rPr>
        <w:t>t(4;</w:t>
      </w:r>
      <w:r>
        <w:rPr>
          <w:color w:val="000000" w:themeColor="text1"/>
        </w:rPr>
        <w:t>11)</w:t>
      </w:r>
    </w:p>
    <w:p w14:paraId="3B9C51A5" w14:textId="76F50C3E" w:rsidR="003711D1" w:rsidRDefault="003711D1" w:rsidP="00380D7C">
      <w:pPr>
        <w:pStyle w:val="ListeParagraf"/>
        <w:numPr>
          <w:ilvl w:val="0"/>
          <w:numId w:val="29"/>
        </w:numPr>
        <w:rPr>
          <w:color w:val="000000" w:themeColor="text1"/>
        </w:rPr>
      </w:pPr>
      <w:r>
        <w:rPr>
          <w:color w:val="000000" w:themeColor="text1"/>
        </w:rPr>
        <w:t>Yüksek WBC sayısı (T-ALL için: &gt;100.000/mikroL, B-ALL için:&gt;30.000/mikroL</w:t>
      </w:r>
    </w:p>
    <w:p w14:paraId="16B512BB" w14:textId="03131B41" w:rsidR="003711D1" w:rsidRDefault="003711D1" w:rsidP="00380D7C">
      <w:pPr>
        <w:pStyle w:val="ListeParagraf"/>
        <w:numPr>
          <w:ilvl w:val="0"/>
          <w:numId w:val="29"/>
        </w:numPr>
        <w:rPr>
          <w:color w:val="000000" w:themeColor="text1"/>
        </w:rPr>
      </w:pPr>
      <w:r>
        <w:rPr>
          <w:color w:val="000000" w:themeColor="text1"/>
        </w:rPr>
        <w:t>İlk indüksiyon tedavisi ile TR elde edilememesi</w:t>
      </w:r>
    </w:p>
    <w:p w14:paraId="31E3968B" w14:textId="460ACED9" w:rsidR="003711D1" w:rsidRPr="00380D7C" w:rsidRDefault="003711D1" w:rsidP="00380D7C">
      <w:pPr>
        <w:pStyle w:val="ListeParagraf"/>
        <w:numPr>
          <w:ilvl w:val="0"/>
          <w:numId w:val="29"/>
        </w:numPr>
        <w:rPr>
          <w:color w:val="000000" w:themeColor="text1"/>
        </w:rPr>
      </w:pPr>
      <w:r>
        <w:rPr>
          <w:color w:val="000000" w:themeColor="text1"/>
        </w:rPr>
        <w:t xml:space="preserve">Yoğunlaştırıcı </w:t>
      </w:r>
      <w:r w:rsidR="00C4067F">
        <w:rPr>
          <w:color w:val="000000" w:themeColor="text1"/>
        </w:rPr>
        <w:t>tedavi sonunda bakılan MKH’ın pozitif olması</w:t>
      </w:r>
    </w:p>
    <w:p w14:paraId="3D8501D5" w14:textId="77777777" w:rsidR="00380D7C" w:rsidRDefault="00380D7C" w:rsidP="00EB196C">
      <w:pPr>
        <w:ind w:left="360"/>
        <w:rPr>
          <w:color w:val="000000" w:themeColor="text1"/>
        </w:rPr>
      </w:pPr>
    </w:p>
    <w:p w14:paraId="2A531199" w14:textId="16580F58" w:rsidR="00B309CB" w:rsidRDefault="00B309CB" w:rsidP="00B309CB">
      <w:pPr>
        <w:pStyle w:val="ListeParagraf"/>
        <w:numPr>
          <w:ilvl w:val="0"/>
          <w:numId w:val="30"/>
        </w:numPr>
        <w:rPr>
          <w:color w:val="000000" w:themeColor="text1"/>
        </w:rPr>
      </w:pPr>
      <w:r>
        <w:rPr>
          <w:color w:val="000000" w:themeColor="text1"/>
        </w:rPr>
        <w:t>Ph(+) 65 yaş altı olgular TR1’de allojenik kök hücre nakline yönlendirilmelidir.</w:t>
      </w:r>
    </w:p>
    <w:p w14:paraId="6626F22B" w14:textId="77777777" w:rsidR="00B309CB" w:rsidRDefault="00B309CB" w:rsidP="00B309CB">
      <w:pPr>
        <w:pStyle w:val="ListeParagraf"/>
        <w:rPr>
          <w:color w:val="000000" w:themeColor="text1"/>
        </w:rPr>
      </w:pPr>
      <w:r>
        <w:rPr>
          <w:color w:val="000000" w:themeColor="text1"/>
        </w:rPr>
        <w:t>Ancak akraba ya da akraba dışı uygun donörü olmayan hastalarda TKİ ile PCR negatifliği sağlanmış ise tedavi transplanta yönlendirmeden TKİ + KT ile devam edebilir.</w:t>
      </w:r>
    </w:p>
    <w:p w14:paraId="5975A0BF" w14:textId="77777777" w:rsidR="0044258A" w:rsidRDefault="0044258A" w:rsidP="00B309CB">
      <w:pPr>
        <w:pStyle w:val="ListeParagraf"/>
        <w:rPr>
          <w:color w:val="000000" w:themeColor="text1"/>
        </w:rPr>
      </w:pPr>
    </w:p>
    <w:p w14:paraId="10A495EF" w14:textId="65196DEE" w:rsidR="0044258A" w:rsidRDefault="001F3990" w:rsidP="00B309CB">
      <w:pPr>
        <w:pStyle w:val="ListeParagraf"/>
        <w:rPr>
          <w:b/>
          <w:color w:val="000000" w:themeColor="text1"/>
        </w:rPr>
      </w:pPr>
      <w:r>
        <w:rPr>
          <w:b/>
          <w:color w:val="000000" w:themeColor="text1"/>
        </w:rPr>
        <w:t xml:space="preserve">Relaps/ </w:t>
      </w:r>
      <w:r w:rsidR="0044258A" w:rsidRPr="0044258A">
        <w:rPr>
          <w:b/>
          <w:color w:val="000000" w:themeColor="text1"/>
        </w:rPr>
        <w:t>Refrakter ALL tedavisi</w:t>
      </w:r>
    </w:p>
    <w:p w14:paraId="4E90A3D8" w14:textId="652E9EA8" w:rsidR="001F3990" w:rsidRDefault="001F3990" w:rsidP="001F3990">
      <w:pPr>
        <w:pStyle w:val="ListeParagraf"/>
        <w:rPr>
          <w:color w:val="000000" w:themeColor="text1"/>
        </w:rPr>
      </w:pPr>
      <w:r>
        <w:rPr>
          <w:color w:val="000000" w:themeColor="text1"/>
        </w:rPr>
        <w:t>Çalışma protokollerine hastalar yönlendirilmelidir.</w:t>
      </w:r>
    </w:p>
    <w:p w14:paraId="48B86577" w14:textId="0913ECED" w:rsidR="001F3990" w:rsidRPr="00077CE6" w:rsidRDefault="001F3990" w:rsidP="00077CE6">
      <w:pPr>
        <w:rPr>
          <w:color w:val="000000" w:themeColor="text1"/>
        </w:rPr>
      </w:pPr>
    </w:p>
    <w:p w14:paraId="4063C530" w14:textId="77777777" w:rsidR="001F3990" w:rsidRDefault="001F3990" w:rsidP="00B309CB">
      <w:pPr>
        <w:pStyle w:val="ListeParagraf"/>
        <w:rPr>
          <w:b/>
          <w:color w:val="000000" w:themeColor="text1"/>
        </w:rPr>
      </w:pPr>
    </w:p>
    <w:p w14:paraId="2F419007" w14:textId="1BC28ABB" w:rsidR="0044258A" w:rsidRDefault="0044258A" w:rsidP="005F72CB">
      <w:pPr>
        <w:pStyle w:val="ListeParagraf"/>
        <w:numPr>
          <w:ilvl w:val="0"/>
          <w:numId w:val="31"/>
        </w:numPr>
        <w:rPr>
          <w:color w:val="000000" w:themeColor="text1"/>
        </w:rPr>
      </w:pPr>
      <w:r w:rsidRPr="0044258A">
        <w:rPr>
          <w:color w:val="000000" w:themeColor="text1"/>
        </w:rPr>
        <w:t xml:space="preserve">İlk sıra </w:t>
      </w:r>
      <w:r>
        <w:rPr>
          <w:color w:val="000000" w:themeColor="text1"/>
        </w:rPr>
        <w:t xml:space="preserve">indüksiyon tedavisi ile </w:t>
      </w:r>
      <w:r w:rsidR="009D4411">
        <w:rPr>
          <w:color w:val="000000" w:themeColor="text1"/>
        </w:rPr>
        <w:t>remisyon elde edilememiş</w:t>
      </w:r>
      <w:r w:rsidR="005F72CB">
        <w:rPr>
          <w:color w:val="000000" w:themeColor="text1"/>
        </w:rPr>
        <w:t>, transplanta uygun hastalarda çapraz direnç olmayacak kemoterapi protokolleri ile tedavi edilmeli</w:t>
      </w:r>
    </w:p>
    <w:p w14:paraId="5846CCC3" w14:textId="103200B0" w:rsidR="005F72CB" w:rsidRDefault="005F72CB" w:rsidP="005F72CB">
      <w:pPr>
        <w:pStyle w:val="ListeParagraf"/>
        <w:numPr>
          <w:ilvl w:val="0"/>
          <w:numId w:val="32"/>
        </w:numPr>
        <w:rPr>
          <w:color w:val="000000" w:themeColor="text1"/>
        </w:rPr>
      </w:pPr>
      <w:r>
        <w:rPr>
          <w:color w:val="000000" w:themeColor="text1"/>
        </w:rPr>
        <w:t>HAM, İDA-FLAG, klofarabin</w:t>
      </w:r>
      <w:r w:rsidR="00652113">
        <w:rPr>
          <w:color w:val="000000" w:themeColor="text1"/>
        </w:rPr>
        <w:t xml:space="preserve"> temelli tedaviler</w:t>
      </w:r>
      <w:r>
        <w:rPr>
          <w:color w:val="000000" w:themeColor="text1"/>
        </w:rPr>
        <w:t xml:space="preserve"> vb</w:t>
      </w:r>
    </w:p>
    <w:p w14:paraId="3B6397CB" w14:textId="1B9B2C4A" w:rsidR="005F72CB" w:rsidRDefault="005F72CB" w:rsidP="005F72CB">
      <w:pPr>
        <w:pStyle w:val="ListeParagraf"/>
        <w:numPr>
          <w:ilvl w:val="0"/>
          <w:numId w:val="31"/>
        </w:numPr>
        <w:rPr>
          <w:color w:val="000000" w:themeColor="text1"/>
        </w:rPr>
      </w:pPr>
      <w:r>
        <w:rPr>
          <w:color w:val="000000" w:themeColor="text1"/>
        </w:rPr>
        <w:t xml:space="preserve">İkinci kurtarma protokolleri ile MKH negatifliği elde edilemeyen olgularda </w:t>
      </w:r>
      <w:r w:rsidR="001F3990">
        <w:rPr>
          <w:color w:val="000000" w:themeColor="text1"/>
        </w:rPr>
        <w:t xml:space="preserve">transplanta köprü olarak </w:t>
      </w:r>
      <w:r>
        <w:rPr>
          <w:color w:val="000000" w:themeColor="text1"/>
        </w:rPr>
        <w:t>immünoterapiler gündeme gelebilir.</w:t>
      </w:r>
    </w:p>
    <w:p w14:paraId="6CE58FD1" w14:textId="60C34C6F" w:rsidR="007D1871" w:rsidRDefault="007D1871" w:rsidP="005F72CB">
      <w:pPr>
        <w:pStyle w:val="ListeParagraf"/>
        <w:numPr>
          <w:ilvl w:val="0"/>
          <w:numId w:val="31"/>
        </w:numPr>
        <w:rPr>
          <w:color w:val="000000" w:themeColor="text1"/>
        </w:rPr>
      </w:pPr>
      <w:r>
        <w:rPr>
          <w:color w:val="000000" w:themeColor="text1"/>
        </w:rPr>
        <w:t xml:space="preserve">Donörü olan, ilk sıra kurtarma tedavisi ile yanıt elde edilememiş olgularda 2 kür Blinatumomab tedavisi geri ödemesini almış bulunmaktadır. </w:t>
      </w:r>
    </w:p>
    <w:p w14:paraId="5CB4E694" w14:textId="1A58560D" w:rsidR="001F3990" w:rsidRDefault="00077CE6" w:rsidP="001F3990">
      <w:pPr>
        <w:pStyle w:val="ListeParagraf"/>
        <w:numPr>
          <w:ilvl w:val="0"/>
          <w:numId w:val="31"/>
        </w:numPr>
        <w:rPr>
          <w:color w:val="000000" w:themeColor="text1"/>
        </w:rPr>
      </w:pPr>
      <w:r>
        <w:rPr>
          <w:color w:val="000000" w:themeColor="text1"/>
        </w:rPr>
        <w:t>Çoklu relapslarda s</w:t>
      </w:r>
      <w:r w:rsidR="001F3990">
        <w:rPr>
          <w:color w:val="000000" w:themeColor="text1"/>
        </w:rPr>
        <w:t>tandart tedavi modali</w:t>
      </w:r>
      <w:r>
        <w:rPr>
          <w:color w:val="000000" w:themeColor="text1"/>
        </w:rPr>
        <w:t xml:space="preserve">teleri olmayıp </w:t>
      </w:r>
      <w:r w:rsidR="006402B4">
        <w:rPr>
          <w:color w:val="000000" w:themeColor="text1"/>
        </w:rPr>
        <w:t xml:space="preserve">aşağıdaki ilaçlar için başvuru yapılabilir: </w:t>
      </w:r>
    </w:p>
    <w:p w14:paraId="007511D0" w14:textId="2F4E4E65" w:rsidR="006858DE" w:rsidRDefault="006858DE" w:rsidP="006402B4">
      <w:pPr>
        <w:pStyle w:val="ListeParagraf"/>
        <w:numPr>
          <w:ilvl w:val="0"/>
          <w:numId w:val="34"/>
        </w:numPr>
        <w:rPr>
          <w:color w:val="000000" w:themeColor="text1"/>
        </w:rPr>
      </w:pPr>
      <w:r w:rsidRPr="006858DE">
        <w:rPr>
          <w:b/>
          <w:color w:val="000000" w:themeColor="text1"/>
        </w:rPr>
        <w:t>Nelarabin:</w:t>
      </w:r>
      <w:r>
        <w:rPr>
          <w:color w:val="000000" w:themeColor="text1"/>
        </w:rPr>
        <w:t xml:space="preserve"> En az 2 tedavi rejimine dirençli T-ALL’de onay almış nükleozid analoğudur. Tek ajan olarak kullanımı ile %31 TR oranları bildirilmiş olup DFS ve OS 20 haftadır.</w:t>
      </w:r>
    </w:p>
    <w:p w14:paraId="555DE61E" w14:textId="2B773C79" w:rsidR="006858DE" w:rsidRDefault="006858DE" w:rsidP="006402B4">
      <w:pPr>
        <w:pStyle w:val="ListeParagraf"/>
        <w:numPr>
          <w:ilvl w:val="0"/>
          <w:numId w:val="34"/>
        </w:numPr>
        <w:rPr>
          <w:color w:val="000000" w:themeColor="text1"/>
        </w:rPr>
      </w:pPr>
      <w:r>
        <w:rPr>
          <w:b/>
          <w:color w:val="000000" w:themeColor="text1"/>
        </w:rPr>
        <w:t>Lipozoma</w:t>
      </w:r>
      <w:r w:rsidR="006402B4">
        <w:rPr>
          <w:b/>
          <w:color w:val="000000" w:themeColor="text1"/>
        </w:rPr>
        <w:t>l</w:t>
      </w:r>
      <w:r>
        <w:rPr>
          <w:b/>
          <w:color w:val="000000" w:themeColor="text1"/>
        </w:rPr>
        <w:t xml:space="preserve"> vinkristin:</w:t>
      </w:r>
      <w:r w:rsidR="006402B4">
        <w:rPr>
          <w:color w:val="000000" w:themeColor="text1"/>
        </w:rPr>
        <w:t xml:space="preserve"> Dolaşımda ilacın</w:t>
      </w:r>
      <w:r>
        <w:rPr>
          <w:color w:val="000000" w:themeColor="text1"/>
        </w:rPr>
        <w:t xml:space="preserve"> uzun süreli ve toksisiteyi arttırmadan artmış dozlarda maruziyeti</w:t>
      </w:r>
      <w:r w:rsidR="006402B4">
        <w:rPr>
          <w:color w:val="000000" w:themeColor="text1"/>
        </w:rPr>
        <w:t>ni</w:t>
      </w:r>
      <w:r>
        <w:rPr>
          <w:color w:val="000000" w:themeColor="text1"/>
        </w:rPr>
        <w:t xml:space="preserve"> sağlar</w:t>
      </w:r>
      <w:r w:rsidR="006402B4">
        <w:rPr>
          <w:color w:val="000000" w:themeColor="text1"/>
        </w:rPr>
        <w:t>. Medyan OS 20 hafta olarak bildirilmiştir.</w:t>
      </w:r>
    </w:p>
    <w:p w14:paraId="5F089C87" w14:textId="77777777" w:rsidR="00077CE6" w:rsidRDefault="00077CE6" w:rsidP="00077CE6">
      <w:pPr>
        <w:pStyle w:val="ListeParagraf"/>
        <w:ind w:left="1080"/>
        <w:rPr>
          <w:color w:val="000000" w:themeColor="text1"/>
        </w:rPr>
      </w:pPr>
    </w:p>
    <w:p w14:paraId="6869BD96" w14:textId="3B9B00EE" w:rsidR="00077CE6" w:rsidRDefault="00077CE6" w:rsidP="00077CE6">
      <w:pPr>
        <w:pStyle w:val="ListeParagraf"/>
        <w:ind w:left="1080"/>
        <w:rPr>
          <w:color w:val="000000" w:themeColor="text1"/>
        </w:rPr>
      </w:pPr>
      <w:r>
        <w:rPr>
          <w:color w:val="000000" w:themeColor="text1"/>
        </w:rPr>
        <w:t>Ancak R/R olgularda çoklu sıra tedaviler ile remisyon sürelerinin çok kısa olduğu, TR oranlarının %20-30 civarında olabileceği unutulmamalıdır</w:t>
      </w:r>
    </w:p>
    <w:p w14:paraId="22FE93A9" w14:textId="77777777" w:rsidR="001F3990" w:rsidRPr="00077CE6" w:rsidRDefault="001F3990" w:rsidP="00077CE6">
      <w:pPr>
        <w:rPr>
          <w:color w:val="000000" w:themeColor="text1"/>
        </w:rPr>
      </w:pPr>
    </w:p>
    <w:p w14:paraId="4889775C" w14:textId="77777777" w:rsidR="001F3990" w:rsidRDefault="001F3990" w:rsidP="00077CE6">
      <w:pPr>
        <w:pStyle w:val="ListeParagraf"/>
        <w:ind w:left="1080"/>
        <w:rPr>
          <w:color w:val="000000" w:themeColor="text1"/>
        </w:rPr>
      </w:pPr>
    </w:p>
    <w:p w14:paraId="19672CF1" w14:textId="77777777" w:rsidR="005F72CB" w:rsidRDefault="005F72CB" w:rsidP="00B309CB">
      <w:pPr>
        <w:pStyle w:val="ListeParagraf"/>
        <w:rPr>
          <w:color w:val="000000" w:themeColor="text1"/>
        </w:rPr>
      </w:pPr>
    </w:p>
    <w:p w14:paraId="0DB61EC4" w14:textId="77777777" w:rsidR="005F72CB" w:rsidRPr="000B5C68" w:rsidRDefault="005F72CB" w:rsidP="00B309CB">
      <w:pPr>
        <w:pStyle w:val="ListeParagraf"/>
        <w:rPr>
          <w:b/>
          <w:color w:val="FF0000"/>
        </w:rPr>
      </w:pPr>
      <w:r w:rsidRPr="000B5C68">
        <w:rPr>
          <w:b/>
          <w:color w:val="FF0000"/>
        </w:rPr>
        <w:t xml:space="preserve">Öneri: </w:t>
      </w:r>
    </w:p>
    <w:p w14:paraId="696B0F10" w14:textId="77777777" w:rsidR="0022661B" w:rsidRPr="00E65154" w:rsidRDefault="005F72CB" w:rsidP="00B309CB">
      <w:pPr>
        <w:pStyle w:val="ListeParagraf"/>
        <w:rPr>
          <w:b/>
          <w:color w:val="000000" w:themeColor="text1"/>
        </w:rPr>
      </w:pPr>
      <w:r w:rsidRPr="00E65154">
        <w:rPr>
          <w:b/>
          <w:color w:val="000000" w:themeColor="text1"/>
        </w:rPr>
        <w:t xml:space="preserve">İmmünoterapi: </w:t>
      </w:r>
    </w:p>
    <w:p w14:paraId="18CBECD5" w14:textId="77777777" w:rsidR="00E17B16" w:rsidRDefault="0022661B" w:rsidP="00B309CB">
      <w:pPr>
        <w:pStyle w:val="ListeParagraf"/>
        <w:rPr>
          <w:color w:val="000000" w:themeColor="text1"/>
        </w:rPr>
      </w:pPr>
      <w:r>
        <w:rPr>
          <w:color w:val="000000" w:themeColor="text1"/>
        </w:rPr>
        <w:t xml:space="preserve">Blinatumomab </w:t>
      </w:r>
      <w:r w:rsidR="00E17B16">
        <w:rPr>
          <w:color w:val="000000" w:themeColor="text1"/>
        </w:rPr>
        <w:t xml:space="preserve">Aralık 2014’te relaps/refrakter Ph(-) B-ALL’de , Temmuz 2017’de de R/R Ph (+) B-ALL’de onay almıştır. Ph(+) ALL’de yanıtlar T315I mutasyonundan bağımsızdır. </w:t>
      </w:r>
      <w:r w:rsidR="005F72CB">
        <w:rPr>
          <w:color w:val="000000" w:themeColor="text1"/>
        </w:rPr>
        <w:t xml:space="preserve"> </w:t>
      </w:r>
    </w:p>
    <w:p w14:paraId="0DD83E7B" w14:textId="6C00327A" w:rsidR="005F72CB" w:rsidRDefault="00E17B16" w:rsidP="00B309CB">
      <w:pPr>
        <w:pStyle w:val="ListeParagraf"/>
        <w:rPr>
          <w:color w:val="000000" w:themeColor="text1"/>
        </w:rPr>
      </w:pPr>
      <w:r>
        <w:rPr>
          <w:color w:val="000000" w:themeColor="text1"/>
        </w:rPr>
        <w:lastRenderedPageBreak/>
        <w:t>A</w:t>
      </w:r>
      <w:r w:rsidR="005E3B5B">
        <w:rPr>
          <w:color w:val="000000" w:themeColor="text1"/>
        </w:rPr>
        <w:t xml:space="preserve">ntikor tedavisi blinatumomab </w:t>
      </w:r>
      <w:r>
        <w:rPr>
          <w:color w:val="000000" w:themeColor="text1"/>
        </w:rPr>
        <w:t xml:space="preserve"> </w:t>
      </w:r>
      <w:r w:rsidR="005F72CB">
        <w:rPr>
          <w:color w:val="000000" w:themeColor="text1"/>
        </w:rPr>
        <w:t>transplant öncesi köprü tedavisi olarak 2 kür uygulanabilir.</w:t>
      </w:r>
    </w:p>
    <w:p w14:paraId="52673B12" w14:textId="5D520DF5" w:rsidR="005F72CB" w:rsidRDefault="005F72CB" w:rsidP="00B309CB">
      <w:pPr>
        <w:pStyle w:val="ListeParagraf"/>
        <w:rPr>
          <w:color w:val="000000" w:themeColor="text1"/>
        </w:rPr>
      </w:pPr>
      <w:r>
        <w:rPr>
          <w:color w:val="000000" w:themeColor="text1"/>
        </w:rPr>
        <w:t>Transplantasyon için uygun donörü yok ise blinatumomab tedavisi 4 küre tamamlanabilir.</w:t>
      </w:r>
    </w:p>
    <w:p w14:paraId="22F6F3EC" w14:textId="77777777" w:rsidR="00875E73" w:rsidRDefault="00E65154" w:rsidP="00E65154">
      <w:pPr>
        <w:rPr>
          <w:color w:val="0070C0"/>
        </w:rPr>
      </w:pPr>
      <w:r>
        <w:rPr>
          <w:color w:val="0070C0"/>
        </w:rPr>
        <w:t xml:space="preserve">            İnotuzumab ozogamisin: </w:t>
      </w:r>
      <w:r w:rsidR="00875E73">
        <w:rPr>
          <w:color w:val="0070C0"/>
        </w:rPr>
        <w:t xml:space="preserve">R/R B-ALL’de FDA onayını almıştır. </w:t>
      </w:r>
      <w:r>
        <w:rPr>
          <w:color w:val="0070C0"/>
        </w:rPr>
        <w:t xml:space="preserve">İndüksiyon tedavisine </w:t>
      </w:r>
      <w:r w:rsidR="00875E73">
        <w:rPr>
          <w:color w:val="0070C0"/>
        </w:rPr>
        <w:t xml:space="preserve"> </w:t>
      </w:r>
    </w:p>
    <w:p w14:paraId="0D7D29A9" w14:textId="77777777" w:rsidR="00875E73" w:rsidRDefault="00875E73" w:rsidP="00E65154">
      <w:pPr>
        <w:rPr>
          <w:color w:val="0070C0"/>
        </w:rPr>
      </w:pPr>
      <w:r>
        <w:rPr>
          <w:color w:val="0070C0"/>
        </w:rPr>
        <w:t xml:space="preserve">            </w:t>
      </w:r>
      <w:r w:rsidR="00E65154">
        <w:rPr>
          <w:color w:val="0070C0"/>
        </w:rPr>
        <w:t xml:space="preserve">yanıtsız B-ALL’de </w:t>
      </w:r>
      <w:r w:rsidR="007D7BC5">
        <w:rPr>
          <w:color w:val="0070C0"/>
        </w:rPr>
        <w:t xml:space="preserve">ikinci ve üçüncü sırada kurtarma </w:t>
      </w:r>
      <w:r w:rsidR="00E65154">
        <w:rPr>
          <w:color w:val="0070C0"/>
        </w:rPr>
        <w:t xml:space="preserve">kemoterapi protokolerine </w:t>
      </w:r>
    </w:p>
    <w:p w14:paraId="741C30ED" w14:textId="77777777" w:rsidR="00875E73" w:rsidRDefault="00875E73" w:rsidP="00E65154">
      <w:pPr>
        <w:rPr>
          <w:color w:val="0070C0"/>
        </w:rPr>
      </w:pPr>
      <w:r>
        <w:rPr>
          <w:color w:val="0070C0"/>
        </w:rPr>
        <w:t xml:space="preserve">            </w:t>
      </w:r>
      <w:r w:rsidR="00E65154">
        <w:rPr>
          <w:color w:val="0070C0"/>
        </w:rPr>
        <w:t xml:space="preserve">eklenebilir. İzlemde ALLO’ya yönlendirilen </w:t>
      </w:r>
      <w:r>
        <w:rPr>
          <w:color w:val="0070C0"/>
        </w:rPr>
        <w:t xml:space="preserve"> </w:t>
      </w:r>
      <w:r w:rsidR="00E65154">
        <w:rPr>
          <w:color w:val="0070C0"/>
        </w:rPr>
        <w:t xml:space="preserve">hastalarda VOD açısından  dikkatli </w:t>
      </w:r>
    </w:p>
    <w:p w14:paraId="449FA61A" w14:textId="3CF96A52" w:rsidR="00E65154" w:rsidRPr="00837D40" w:rsidRDefault="00875E73" w:rsidP="00E65154">
      <w:pPr>
        <w:rPr>
          <w:color w:val="0070C0"/>
        </w:rPr>
      </w:pPr>
      <w:r>
        <w:rPr>
          <w:color w:val="0070C0"/>
        </w:rPr>
        <w:t xml:space="preserve">            </w:t>
      </w:r>
      <w:r w:rsidR="00E65154">
        <w:rPr>
          <w:color w:val="0070C0"/>
        </w:rPr>
        <w:t>olunması, iyi bir profil</w:t>
      </w:r>
      <w:r w:rsidR="007D7BC5">
        <w:rPr>
          <w:color w:val="0070C0"/>
        </w:rPr>
        <w:t>aksi u</w:t>
      </w:r>
      <w:r>
        <w:rPr>
          <w:color w:val="0070C0"/>
        </w:rPr>
        <w:t xml:space="preserve">ygulanması  </w:t>
      </w:r>
      <w:r w:rsidR="00E65154">
        <w:rPr>
          <w:color w:val="0070C0"/>
        </w:rPr>
        <w:t xml:space="preserve">gerekecektir. </w:t>
      </w:r>
    </w:p>
    <w:p w14:paraId="7341F6A2" w14:textId="77777777" w:rsidR="00E65154" w:rsidRDefault="00E65154" w:rsidP="00B309CB">
      <w:pPr>
        <w:pStyle w:val="ListeParagraf"/>
        <w:rPr>
          <w:color w:val="000000" w:themeColor="text1"/>
        </w:rPr>
      </w:pPr>
    </w:p>
    <w:p w14:paraId="7DFA0ADD" w14:textId="77777777" w:rsidR="00D23AE3" w:rsidRDefault="00D23AE3" w:rsidP="00B309CB">
      <w:pPr>
        <w:pStyle w:val="ListeParagraf"/>
        <w:rPr>
          <w:color w:val="000000" w:themeColor="text1"/>
        </w:rPr>
      </w:pPr>
    </w:p>
    <w:p w14:paraId="3BE19B59" w14:textId="51FBB536" w:rsidR="005F72CB" w:rsidRPr="001F3990" w:rsidRDefault="001F3990" w:rsidP="001F3990">
      <w:pPr>
        <w:pStyle w:val="ListeParagraf"/>
        <w:rPr>
          <w:b/>
          <w:color w:val="000000" w:themeColor="text1"/>
        </w:rPr>
      </w:pPr>
      <w:r>
        <w:rPr>
          <w:b/>
          <w:color w:val="000000" w:themeColor="text1"/>
        </w:rPr>
        <w:t xml:space="preserve">Relaps/refrakter </w:t>
      </w:r>
    </w:p>
    <w:p w14:paraId="15189D6F" w14:textId="39AE601F" w:rsidR="0044258A" w:rsidRPr="00882BA6" w:rsidRDefault="00882BA6" w:rsidP="00B309CB">
      <w:pPr>
        <w:pStyle w:val="ListeParagraf"/>
        <w:rPr>
          <w:b/>
          <w:color w:val="000000" w:themeColor="text1"/>
        </w:rPr>
      </w:pPr>
      <w:r w:rsidRPr="00882BA6">
        <w:rPr>
          <w:b/>
          <w:color w:val="000000" w:themeColor="text1"/>
        </w:rPr>
        <w:t>Minimal Kalıntı Hastalık:</w:t>
      </w:r>
    </w:p>
    <w:p w14:paraId="3B935CAA" w14:textId="573401F6" w:rsidR="00882BA6" w:rsidRPr="009D5753" w:rsidRDefault="00882BA6" w:rsidP="00B309CB">
      <w:pPr>
        <w:pStyle w:val="ListeParagraf"/>
        <w:rPr>
          <w:color w:val="000000" w:themeColor="text1"/>
        </w:rPr>
      </w:pPr>
      <w:r>
        <w:rPr>
          <w:color w:val="000000" w:themeColor="text1"/>
        </w:rPr>
        <w:t>ALL’de MKH konvansiyonel morfolojik yöntemler ile tesbit edilebilen sınırın altında lösemik blast varlığıdır. Lösemik hücreye özgü belirteç ya da belirteçlerin çok renkli flow</w:t>
      </w:r>
      <w:r w:rsidR="00513006">
        <w:rPr>
          <w:color w:val="000000" w:themeColor="text1"/>
        </w:rPr>
        <w:t xml:space="preserve"> </w:t>
      </w:r>
      <w:r>
        <w:rPr>
          <w:color w:val="000000" w:themeColor="text1"/>
        </w:rPr>
        <w:t xml:space="preserve">sitometrik analiz </w:t>
      </w:r>
      <w:r w:rsidR="00513006">
        <w:rPr>
          <w:color w:val="000000" w:themeColor="text1"/>
        </w:rPr>
        <w:t xml:space="preserve">(anormal MKH immünfenotiplerin değerlendirildiği) </w:t>
      </w:r>
      <w:r>
        <w:rPr>
          <w:color w:val="000000" w:themeColor="text1"/>
        </w:rPr>
        <w:t xml:space="preserve">ile ya da </w:t>
      </w:r>
      <w:r w:rsidR="006A4137">
        <w:rPr>
          <w:color w:val="000000" w:themeColor="text1"/>
        </w:rPr>
        <w:t xml:space="preserve">PCR, NGS gibi </w:t>
      </w:r>
      <w:r>
        <w:rPr>
          <w:color w:val="000000" w:themeColor="text1"/>
        </w:rPr>
        <w:t>m</w:t>
      </w:r>
      <w:r w:rsidR="006A4137">
        <w:rPr>
          <w:color w:val="000000" w:themeColor="text1"/>
        </w:rPr>
        <w:t xml:space="preserve">oleküler yöntemler ile </w:t>
      </w:r>
      <w:r w:rsidR="00513006">
        <w:rPr>
          <w:color w:val="000000" w:themeColor="text1"/>
        </w:rPr>
        <w:t>(bcr-abl1 gibi füzyon genlerinin, Ig ağır zincir genlerindeki</w:t>
      </w:r>
      <w:r w:rsidR="003C06E4">
        <w:rPr>
          <w:color w:val="000000" w:themeColor="text1"/>
        </w:rPr>
        <w:t xml:space="preserve"> </w:t>
      </w:r>
      <w:r w:rsidR="006A4137">
        <w:rPr>
          <w:color w:val="000000" w:themeColor="text1"/>
        </w:rPr>
        <w:t>ve/veya TCR genlerindeki klonal rearanjmanların)</w:t>
      </w:r>
      <w:r>
        <w:rPr>
          <w:color w:val="000000" w:themeColor="text1"/>
        </w:rPr>
        <w:t xml:space="preserve"> tesbitine dayanır. Yöntemler arasında standardizasyonun olmaması en önemli dezavantajı olmakla birlikte,</w:t>
      </w:r>
      <w:r w:rsidR="00655D00">
        <w:rPr>
          <w:color w:val="000000" w:themeColor="text1"/>
        </w:rPr>
        <w:t xml:space="preserve"> kürün hedeflenebilmesi için bakılması ve tedavilerin buna göre yönlendirilmesi günümüzde ve gelecekte en önemli yaklaşımdır.</w:t>
      </w:r>
      <w:r w:rsidR="009D5753">
        <w:rPr>
          <w:color w:val="000000" w:themeColor="text1"/>
        </w:rPr>
        <w:t xml:space="preserve"> Bu teknikler kemik iliğindeki mononükleer hücrelerde &lt;1x10</w:t>
      </w:r>
      <w:r w:rsidR="009D5753">
        <w:rPr>
          <w:color w:val="000000" w:themeColor="text1"/>
          <w:vertAlign w:val="superscript"/>
        </w:rPr>
        <w:t xml:space="preserve">-4 </w:t>
      </w:r>
      <w:r w:rsidR="009D5753">
        <w:rPr>
          <w:color w:val="000000" w:themeColor="text1"/>
        </w:rPr>
        <w:t>(&lt;%0.01) altında lösemik blastı tesbit edebilme duyarlılığına sahiptirler</w:t>
      </w:r>
    </w:p>
    <w:p w14:paraId="7BB0E850" w14:textId="4CCD3CAF" w:rsidR="00513006" w:rsidRDefault="00513006" w:rsidP="00B309CB">
      <w:pPr>
        <w:pStyle w:val="ListeParagraf"/>
        <w:rPr>
          <w:color w:val="000000" w:themeColor="text1"/>
        </w:rPr>
      </w:pPr>
      <w:r>
        <w:rPr>
          <w:color w:val="000000" w:themeColor="text1"/>
        </w:rPr>
        <w:t xml:space="preserve">Çocuklarda ve erişkinlerde yapılan çalışmalarda MKH ile nüks arasında güçlü ilişki gösterilmiştir. Buna ek olarak indüksiyon tedavisi süresince ve sonrasında bakılan MKH prognostik öneme sahiptir. </w:t>
      </w:r>
    </w:p>
    <w:p w14:paraId="62511C86" w14:textId="77777777" w:rsidR="00E03C21" w:rsidRDefault="00882BA6" w:rsidP="00B309CB">
      <w:pPr>
        <w:pStyle w:val="ListeParagraf"/>
        <w:rPr>
          <w:color w:val="000000" w:themeColor="text1"/>
        </w:rPr>
      </w:pPr>
      <w:r>
        <w:rPr>
          <w:color w:val="000000" w:themeColor="text1"/>
        </w:rPr>
        <w:t>Pediyatrik protokollerin bir parçası olan MKH’ın erişkin protokollerinde de artık gündeme alınması bunu için çaba sarf</w:t>
      </w:r>
      <w:r w:rsidR="009D5753">
        <w:rPr>
          <w:color w:val="000000" w:themeColor="text1"/>
        </w:rPr>
        <w:t xml:space="preserve"> </w:t>
      </w:r>
      <w:r w:rsidR="00E03C21">
        <w:rPr>
          <w:color w:val="000000" w:themeColor="text1"/>
        </w:rPr>
        <w:t xml:space="preserve">edilmesi gerekmektedir. </w:t>
      </w:r>
    </w:p>
    <w:p w14:paraId="09057D0F" w14:textId="77777777" w:rsidR="00D10D82" w:rsidRDefault="00E03C21" w:rsidP="00D10D82">
      <w:pPr>
        <w:pStyle w:val="ListeParagraf"/>
        <w:rPr>
          <w:color w:val="000000" w:themeColor="text1"/>
        </w:rPr>
      </w:pPr>
      <w:r>
        <w:rPr>
          <w:color w:val="000000" w:themeColor="text1"/>
        </w:rPr>
        <w:t>Sıklıkla zamanlama önerisi indüksiyon tedavisi tamamlandığındadır. Sonrasında protokollere göre uygun zamanlama noktaları belirlenebilir.</w:t>
      </w:r>
      <w:r w:rsidR="00882BA6">
        <w:rPr>
          <w:color w:val="000000" w:themeColor="text1"/>
        </w:rPr>
        <w:t xml:space="preserve"> </w:t>
      </w:r>
    </w:p>
    <w:p w14:paraId="3A3C2C46" w14:textId="77777777" w:rsidR="008F3105" w:rsidRDefault="008F3105" w:rsidP="00D10D82">
      <w:pPr>
        <w:pStyle w:val="ListeParagraf"/>
        <w:rPr>
          <w:color w:val="000000" w:themeColor="text1"/>
        </w:rPr>
      </w:pPr>
    </w:p>
    <w:p w14:paraId="317B4F39" w14:textId="72C388F3" w:rsidR="008F3105" w:rsidRPr="008F3105" w:rsidRDefault="008F3105" w:rsidP="00D10D82">
      <w:pPr>
        <w:pStyle w:val="ListeParagraf"/>
        <w:rPr>
          <w:b/>
          <w:color w:val="000000" w:themeColor="text1"/>
        </w:rPr>
      </w:pPr>
      <w:r w:rsidRPr="008F3105">
        <w:rPr>
          <w:b/>
          <w:color w:val="000000" w:themeColor="text1"/>
        </w:rPr>
        <w:t>İzlem:</w:t>
      </w:r>
    </w:p>
    <w:p w14:paraId="629B16B8" w14:textId="41B69F41" w:rsidR="008F3105" w:rsidRPr="008F3105" w:rsidRDefault="008F3105" w:rsidP="00D10D82">
      <w:pPr>
        <w:pStyle w:val="ListeParagraf"/>
        <w:rPr>
          <w:color w:val="000000" w:themeColor="text1"/>
          <w:u w:val="single"/>
        </w:rPr>
      </w:pPr>
      <w:r w:rsidRPr="008F3105">
        <w:rPr>
          <w:color w:val="000000" w:themeColor="text1"/>
          <w:u w:val="single"/>
        </w:rPr>
        <w:t>İlk yıl, ayda bir:</w:t>
      </w:r>
    </w:p>
    <w:p w14:paraId="5269D8FF" w14:textId="6BBB4B8F" w:rsidR="008F3105" w:rsidRDefault="008F3105" w:rsidP="00D10D82">
      <w:pPr>
        <w:pStyle w:val="ListeParagraf"/>
        <w:rPr>
          <w:color w:val="000000" w:themeColor="text1"/>
        </w:rPr>
      </w:pPr>
      <w:r>
        <w:rPr>
          <w:color w:val="000000" w:themeColor="text1"/>
        </w:rPr>
        <w:t>*Fizik muayene (testiküler muayene dahil)</w:t>
      </w:r>
    </w:p>
    <w:p w14:paraId="7BA45E1C" w14:textId="62C31505" w:rsidR="008F3105" w:rsidRDefault="008F3105" w:rsidP="00D10D82">
      <w:pPr>
        <w:pStyle w:val="ListeParagraf"/>
        <w:rPr>
          <w:color w:val="000000" w:themeColor="text1"/>
        </w:rPr>
      </w:pPr>
      <w:r>
        <w:rPr>
          <w:color w:val="000000" w:themeColor="text1"/>
        </w:rPr>
        <w:t>*Hemogram, periferik yayma</w:t>
      </w:r>
    </w:p>
    <w:p w14:paraId="0B4EA2AA" w14:textId="21ECCF0F" w:rsidR="008F3105" w:rsidRPr="008F3105" w:rsidRDefault="008F3105" w:rsidP="00D10D82">
      <w:pPr>
        <w:pStyle w:val="ListeParagraf"/>
        <w:rPr>
          <w:color w:val="000000" w:themeColor="text1"/>
          <w:u w:val="single"/>
        </w:rPr>
      </w:pPr>
      <w:r w:rsidRPr="008F3105">
        <w:rPr>
          <w:color w:val="000000" w:themeColor="text1"/>
          <w:u w:val="single"/>
        </w:rPr>
        <w:t>2. yıl, 3 ayda bir:</w:t>
      </w:r>
    </w:p>
    <w:p w14:paraId="46F0E528" w14:textId="5321E9BA" w:rsidR="008F3105" w:rsidRDefault="008F3105" w:rsidP="00D10D82">
      <w:pPr>
        <w:pStyle w:val="ListeParagraf"/>
        <w:rPr>
          <w:color w:val="000000" w:themeColor="text1"/>
        </w:rPr>
      </w:pPr>
      <w:r>
        <w:rPr>
          <w:color w:val="000000" w:themeColor="text1"/>
        </w:rPr>
        <w:t>*Testiküler muayene dahil fizik muayene</w:t>
      </w:r>
    </w:p>
    <w:p w14:paraId="23C8383B" w14:textId="2BD45EDE" w:rsidR="008F3105" w:rsidRDefault="008F3105" w:rsidP="00D10D82">
      <w:pPr>
        <w:pStyle w:val="ListeParagraf"/>
        <w:rPr>
          <w:color w:val="000000" w:themeColor="text1"/>
        </w:rPr>
      </w:pPr>
      <w:r>
        <w:rPr>
          <w:color w:val="000000" w:themeColor="text1"/>
        </w:rPr>
        <w:t>*Hemogram, periferik yayma</w:t>
      </w:r>
    </w:p>
    <w:p w14:paraId="57106A8C" w14:textId="10D5C091" w:rsidR="008F3105" w:rsidRPr="008F3105" w:rsidRDefault="008F3105" w:rsidP="00D10D82">
      <w:pPr>
        <w:pStyle w:val="ListeParagraf"/>
        <w:rPr>
          <w:color w:val="000000" w:themeColor="text1"/>
          <w:u w:val="single"/>
        </w:rPr>
      </w:pPr>
      <w:r w:rsidRPr="008F3105">
        <w:rPr>
          <w:color w:val="000000" w:themeColor="text1"/>
          <w:u w:val="single"/>
        </w:rPr>
        <w:t>3. yıl ve sonrası, 6-12 ayda bir:</w:t>
      </w:r>
    </w:p>
    <w:p w14:paraId="0D48349B" w14:textId="58852AF6" w:rsidR="008F3105" w:rsidRDefault="008F3105" w:rsidP="00D10D82">
      <w:pPr>
        <w:pStyle w:val="ListeParagraf"/>
        <w:rPr>
          <w:color w:val="000000" w:themeColor="text1"/>
        </w:rPr>
      </w:pPr>
      <w:r>
        <w:rPr>
          <w:color w:val="000000" w:themeColor="text1"/>
        </w:rPr>
        <w:t>*Testiküler muayene dahil fizik muayene</w:t>
      </w:r>
    </w:p>
    <w:p w14:paraId="734927B4" w14:textId="052BA8EE" w:rsidR="008F3105" w:rsidRDefault="008F3105" w:rsidP="00D10D82">
      <w:pPr>
        <w:pStyle w:val="ListeParagraf"/>
        <w:rPr>
          <w:color w:val="000000" w:themeColor="text1"/>
        </w:rPr>
      </w:pPr>
      <w:r>
        <w:rPr>
          <w:color w:val="000000" w:themeColor="text1"/>
        </w:rPr>
        <w:t>*Hemogram, periferik yayma</w:t>
      </w:r>
    </w:p>
    <w:p w14:paraId="07CE01E7" w14:textId="4927D928" w:rsidR="008F3105" w:rsidRDefault="008F3105" w:rsidP="00D10D82">
      <w:pPr>
        <w:pStyle w:val="ListeParagraf"/>
        <w:rPr>
          <w:color w:val="000000" w:themeColor="text1"/>
        </w:rPr>
      </w:pPr>
      <w:r>
        <w:rPr>
          <w:color w:val="000000" w:themeColor="text1"/>
        </w:rPr>
        <w:t>Periferik yaymada saptanan şüpheli hücre varlığında veya herhangi bir sitopeni durumunda kemik iliği aspirasyonu yenilenmeli.</w:t>
      </w:r>
    </w:p>
    <w:p w14:paraId="76FC53CD" w14:textId="7F6AE837" w:rsidR="008F3105" w:rsidRDefault="008F3105" w:rsidP="00D10D82">
      <w:pPr>
        <w:pStyle w:val="ListeParagraf"/>
        <w:rPr>
          <w:color w:val="000000" w:themeColor="text1"/>
        </w:rPr>
      </w:pPr>
      <w:r>
        <w:rPr>
          <w:color w:val="000000" w:themeColor="text1"/>
        </w:rPr>
        <w:t>Eğer kemik iliği aspirasyonu yapılacak ise flow sitometri, FISH ve sitogenetik için örneklem alınmalı</w:t>
      </w:r>
    </w:p>
    <w:p w14:paraId="18C2ACC6" w14:textId="435B8057" w:rsidR="008F3105" w:rsidRDefault="008F3105" w:rsidP="00D10D82">
      <w:pPr>
        <w:pStyle w:val="ListeParagraf"/>
        <w:rPr>
          <w:color w:val="000000" w:themeColor="text1"/>
        </w:rPr>
      </w:pPr>
      <w:r>
        <w:rPr>
          <w:color w:val="000000" w:themeColor="text1"/>
        </w:rPr>
        <w:t>*Ph(+) ALL için periyodik bcr-abl1 transkrip seviyesi izlemi yapılmalı.</w:t>
      </w:r>
    </w:p>
    <w:p w14:paraId="0BA415F9" w14:textId="77777777" w:rsidR="00D10D82" w:rsidRDefault="00D10D82" w:rsidP="00D10D82">
      <w:pPr>
        <w:pStyle w:val="ListeParagraf"/>
        <w:rPr>
          <w:color w:val="000000" w:themeColor="text1"/>
        </w:rPr>
      </w:pPr>
    </w:p>
    <w:p w14:paraId="30EBAF80" w14:textId="5CB88442" w:rsidR="00D10D82" w:rsidRPr="00D10D82" w:rsidRDefault="00D10D82" w:rsidP="00D10D82">
      <w:pPr>
        <w:pStyle w:val="ListeParagraf"/>
        <w:rPr>
          <w:b/>
          <w:color w:val="000000" w:themeColor="text1"/>
        </w:rPr>
      </w:pPr>
      <w:r w:rsidRPr="00D10D82">
        <w:rPr>
          <w:b/>
          <w:color w:val="000000" w:themeColor="text1"/>
        </w:rPr>
        <w:t xml:space="preserve">Referanslar: </w:t>
      </w:r>
    </w:p>
    <w:p w14:paraId="06D538D8" w14:textId="77777777" w:rsidR="0017489D" w:rsidRDefault="0017489D" w:rsidP="0017489D">
      <w:pPr>
        <w:rPr>
          <w:color w:val="000000" w:themeColor="text1"/>
        </w:rPr>
      </w:pPr>
      <w:r>
        <w:rPr>
          <w:color w:val="000000" w:themeColor="text1"/>
        </w:rPr>
        <w:t>Referanslar:</w:t>
      </w:r>
    </w:p>
    <w:p w14:paraId="3CF268D2" w14:textId="77777777" w:rsidR="0017489D" w:rsidRPr="007F5DAA"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7F5DAA">
        <w:rPr>
          <w:color w:val="000000"/>
          <w:lang w:eastAsia="en-US"/>
        </w:rPr>
        <w:lastRenderedPageBreak/>
        <w:t xml:space="preserve">Fernandez HF, Sun Z, Yao X, et al. Anthracycline dose intensification in acute myeloid leukemia. </w:t>
      </w:r>
      <w:r w:rsidRPr="007F5DAA">
        <w:rPr>
          <w:i/>
          <w:iCs/>
          <w:color w:val="000000"/>
          <w:lang w:eastAsia="en-US"/>
        </w:rPr>
        <w:t>N Engl J Med</w:t>
      </w:r>
      <w:r w:rsidRPr="007F5DAA">
        <w:rPr>
          <w:color w:val="000000"/>
          <w:lang w:eastAsia="en-US"/>
        </w:rPr>
        <w:t xml:space="preserve">. 2009;361(13):1249-1259. </w:t>
      </w:r>
      <w:r w:rsidRPr="007F5DAA">
        <w:rPr>
          <w:rFonts w:ascii="MS Mincho" w:eastAsia="MS Mincho" w:hAnsi="MS Mincho" w:cs="MS Mincho" w:hint="eastAsia"/>
          <w:color w:val="000000"/>
          <w:lang w:eastAsia="en-US"/>
        </w:rPr>
        <w:t> </w:t>
      </w:r>
    </w:p>
    <w:p w14:paraId="3AAC1C87" w14:textId="77777777" w:rsidR="0017489D" w:rsidRPr="007F5DAA"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7F5DAA">
        <w:rPr>
          <w:color w:val="000000"/>
          <w:lang w:eastAsia="en-US"/>
        </w:rPr>
        <w:t xml:space="preserve">Lee JH, Joo YD, Kim H, et al A randomized trial comparing standard versus high-dose daunorubicin induction in patients with acute myeloid leukemia. </w:t>
      </w:r>
      <w:r w:rsidRPr="007F5DAA">
        <w:rPr>
          <w:i/>
          <w:iCs/>
          <w:color w:val="000000"/>
          <w:lang w:eastAsia="en-US"/>
        </w:rPr>
        <w:t>Blood</w:t>
      </w:r>
      <w:r w:rsidRPr="007F5DAA">
        <w:rPr>
          <w:color w:val="000000"/>
          <w:lang w:eastAsia="en-US"/>
        </w:rPr>
        <w:t xml:space="preserve">. 2011;118(14):3832-3841. </w:t>
      </w:r>
      <w:r w:rsidRPr="007F5DAA">
        <w:rPr>
          <w:rFonts w:ascii="MS Mincho" w:eastAsia="MS Mincho" w:hAnsi="MS Mincho" w:cs="MS Mincho" w:hint="eastAsia"/>
          <w:color w:val="000000"/>
          <w:lang w:eastAsia="en-US"/>
        </w:rPr>
        <w:t> </w:t>
      </w:r>
    </w:p>
    <w:p w14:paraId="77CF3185" w14:textId="77777777" w:rsidR="0017489D" w:rsidRPr="00DC2438"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7F5DAA">
        <w:rPr>
          <w:color w:val="000000"/>
          <w:lang w:eastAsia="en-US"/>
        </w:rPr>
        <w:t xml:space="preserve">Burnett AK, Russell NH, Hills RK; United Kingdom National Cancer Research Institute Acute Myeloid Leukemia Study Group. Higher daunorubicin exposure benefits FLT3 mutated acute myeloid leukaemia. </w:t>
      </w:r>
      <w:r w:rsidRPr="007F5DAA">
        <w:rPr>
          <w:i/>
          <w:iCs/>
          <w:color w:val="000000"/>
          <w:lang w:eastAsia="en-US"/>
        </w:rPr>
        <w:t>Blood</w:t>
      </w:r>
      <w:r w:rsidRPr="007F5DAA">
        <w:rPr>
          <w:color w:val="000000"/>
          <w:lang w:eastAsia="en-US"/>
        </w:rPr>
        <w:t xml:space="preserve">. 2016;128(3):449-452. </w:t>
      </w:r>
      <w:r w:rsidRPr="007F5DAA">
        <w:rPr>
          <w:rFonts w:ascii="MS Mincho" w:eastAsia="MS Mincho" w:hAnsi="MS Mincho" w:cs="MS Mincho" w:hint="eastAsia"/>
          <w:color w:val="000000"/>
          <w:lang w:eastAsia="en-US"/>
        </w:rPr>
        <w:t> </w:t>
      </w:r>
    </w:p>
    <w:p w14:paraId="62ABAA49" w14:textId="77777777" w:rsidR="0017489D" w:rsidRPr="00DC2438"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C2438">
        <w:rPr>
          <w:color w:val="000000"/>
          <w:lang w:eastAsia="en-US"/>
        </w:rPr>
        <w:t xml:space="preserve">Petersdorf SH, Kopecky KJ, Slovak M, et al. A Phase 3 study of gemtuzumab ozogamicin during induction and postconsolidation therapy in younger patients with acute myeloid leukemia. </w:t>
      </w:r>
      <w:r w:rsidRPr="00DC2438">
        <w:rPr>
          <w:i/>
          <w:iCs/>
          <w:color w:val="000000"/>
          <w:lang w:eastAsia="en-US"/>
        </w:rPr>
        <w:t>Blood</w:t>
      </w:r>
      <w:r w:rsidRPr="00DC2438">
        <w:rPr>
          <w:color w:val="000000"/>
          <w:lang w:eastAsia="en-US"/>
        </w:rPr>
        <w:t xml:space="preserve">. 2013;121(24):4854- 4860. </w:t>
      </w:r>
      <w:r w:rsidRPr="00DC2438">
        <w:rPr>
          <w:rFonts w:ascii="MS Mincho" w:eastAsia="MS Mincho" w:hAnsi="MS Mincho" w:cs="MS Mincho" w:hint="eastAsia"/>
          <w:color w:val="000000"/>
          <w:lang w:eastAsia="en-US"/>
        </w:rPr>
        <w:t> </w:t>
      </w:r>
    </w:p>
    <w:p w14:paraId="6EB08CCE"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C2438">
        <w:rPr>
          <w:color w:val="000000"/>
          <w:lang w:eastAsia="en-US"/>
        </w:rPr>
        <w:t xml:space="preserve">Burnett AK, Hills RK, Milligan D, et al. Identification of patients with acute myeloblastic leukemia who benefit from the addition of gemtuzumab ozogamicin: results of the MRC AML15 trial. </w:t>
      </w:r>
      <w:r w:rsidRPr="00DC2438">
        <w:rPr>
          <w:i/>
          <w:iCs/>
          <w:color w:val="000000"/>
          <w:lang w:eastAsia="en-US"/>
        </w:rPr>
        <w:t>J Clin Oncol</w:t>
      </w:r>
      <w:r w:rsidRPr="00DC2438">
        <w:rPr>
          <w:color w:val="000000"/>
          <w:lang w:eastAsia="en-US"/>
        </w:rPr>
        <w:t xml:space="preserve">. 2011;29(4):369- 377. </w:t>
      </w:r>
      <w:r w:rsidRPr="00DC2438">
        <w:rPr>
          <w:rFonts w:ascii="MS Mincho" w:eastAsia="MS Mincho" w:hAnsi="MS Mincho" w:cs="MS Mincho" w:hint="eastAsia"/>
          <w:color w:val="000000"/>
          <w:lang w:eastAsia="en-US"/>
        </w:rPr>
        <w:t> </w:t>
      </w:r>
    </w:p>
    <w:p w14:paraId="0616B652"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Burnett AK, Russell NH, Hills RK, et al. Optimization of chemotherapy for younger patients with acute myeloid leukemia: results of the Medical Research Council AML15 trial. </w:t>
      </w:r>
      <w:r w:rsidRPr="00C530C4">
        <w:rPr>
          <w:i/>
          <w:iCs/>
          <w:color w:val="000000"/>
          <w:lang w:eastAsia="en-US"/>
        </w:rPr>
        <w:t>J Clin Oncol</w:t>
      </w:r>
      <w:r w:rsidRPr="00C530C4">
        <w:rPr>
          <w:color w:val="000000"/>
          <w:lang w:eastAsia="en-US"/>
        </w:rPr>
        <w:t xml:space="preserve">. 2013;31(27):3360- 3368 </w:t>
      </w:r>
      <w:r w:rsidRPr="00C530C4">
        <w:rPr>
          <w:rFonts w:ascii="MS Mincho" w:eastAsia="MS Mincho" w:hAnsi="MS Mincho" w:cs="MS Mincho" w:hint="eastAsia"/>
          <w:color w:val="000000"/>
          <w:lang w:eastAsia="en-US"/>
        </w:rPr>
        <w:t> </w:t>
      </w:r>
    </w:p>
    <w:p w14:paraId="305D2874"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Löwenberg B. Sense and nonsense of high-dose cytarabine for acute myeloid leukemia. </w:t>
      </w:r>
      <w:r w:rsidRPr="00C530C4">
        <w:rPr>
          <w:i/>
          <w:iCs/>
          <w:color w:val="000000"/>
          <w:lang w:eastAsia="en-US"/>
        </w:rPr>
        <w:t>Blood</w:t>
      </w:r>
      <w:r w:rsidRPr="00C530C4">
        <w:rPr>
          <w:color w:val="000000"/>
          <w:lang w:eastAsia="en-US"/>
        </w:rPr>
        <w:t xml:space="preserve">. 2013;121(1):26-28. </w:t>
      </w:r>
    </w:p>
    <w:p w14:paraId="00E5BA9E"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Miyawaki S, Ohtake S, Fujisawa S, et al. A randomized comparison of 4 courses of standard-dose multiagent chemotherapy versus 3 courses of high-dose cytarabine alone in postremission therapy for acute myeloid leukemia in adults: the JALSG AML201 study. </w:t>
      </w:r>
      <w:r w:rsidRPr="00C530C4">
        <w:rPr>
          <w:i/>
          <w:iCs/>
          <w:color w:val="000000"/>
          <w:lang w:eastAsia="en-US"/>
        </w:rPr>
        <w:t>Blood</w:t>
      </w:r>
      <w:r w:rsidRPr="00C530C4">
        <w:rPr>
          <w:color w:val="000000"/>
          <w:lang w:eastAsia="en-US"/>
        </w:rPr>
        <w:t>. 2011;117(8):2366-2372</w:t>
      </w:r>
      <w:r w:rsidRPr="00C530C4">
        <w:rPr>
          <w:rFonts w:ascii="Helvetica" w:hAnsi="Helvetica" w:cs="Helvetica"/>
          <w:color w:val="000000"/>
          <w:sz w:val="21"/>
          <w:szCs w:val="21"/>
          <w:lang w:eastAsia="en-US"/>
        </w:rPr>
        <w:t xml:space="preserve">  </w:t>
      </w:r>
    </w:p>
    <w:p w14:paraId="0834F606"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Vellenga E, Van Putten W, Ossenkoppele GJ, et al. Autologous peripheral blood stem cell transplantation for acute myeloid leukemia. </w:t>
      </w:r>
      <w:r w:rsidRPr="00C530C4">
        <w:rPr>
          <w:i/>
          <w:iCs/>
          <w:color w:val="000000"/>
          <w:lang w:eastAsia="en-US"/>
        </w:rPr>
        <w:t>Blood</w:t>
      </w:r>
      <w:r w:rsidRPr="00C530C4">
        <w:rPr>
          <w:color w:val="000000"/>
          <w:lang w:eastAsia="en-US"/>
        </w:rPr>
        <w:t xml:space="preserve">. 2011;118(23):6037-6042. </w:t>
      </w:r>
      <w:r w:rsidRPr="00C530C4">
        <w:rPr>
          <w:rFonts w:ascii="MS Mincho" w:eastAsia="MS Mincho" w:hAnsi="MS Mincho" w:cs="MS Mincho" w:hint="eastAsia"/>
          <w:color w:val="000000"/>
          <w:lang w:eastAsia="en-US"/>
        </w:rPr>
        <w:t> </w:t>
      </w:r>
    </w:p>
    <w:p w14:paraId="72CF079D"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Pfirrmann M, Ehninger G, Thiede C, et al. Prediction of post-remission survival in acute myeloid. </w:t>
      </w:r>
      <w:r w:rsidRPr="00C530C4">
        <w:rPr>
          <w:i/>
          <w:iCs/>
          <w:color w:val="000000"/>
          <w:lang w:eastAsia="en-US"/>
        </w:rPr>
        <w:t>Lancet Oncol</w:t>
      </w:r>
      <w:r w:rsidRPr="00C530C4">
        <w:rPr>
          <w:color w:val="000000"/>
          <w:lang w:eastAsia="en-US"/>
        </w:rPr>
        <w:t xml:space="preserve">. 2012;13(2):207-214. </w:t>
      </w:r>
      <w:r w:rsidRPr="00C530C4">
        <w:rPr>
          <w:rFonts w:ascii="MS Mincho" w:eastAsia="MS Mincho" w:hAnsi="MS Mincho" w:cs="MS Mincho" w:hint="eastAsia"/>
          <w:color w:val="000000"/>
          <w:lang w:eastAsia="en-US"/>
        </w:rPr>
        <w:t> </w:t>
      </w:r>
    </w:p>
    <w:p w14:paraId="0B6409A9"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Dombret H, Seymour JF, Butrym A, et al. International phase 3 study of azacitidine vs conventional care </w:t>
      </w:r>
      <w:r w:rsidRPr="00C530C4">
        <w:rPr>
          <w:rFonts w:ascii="MS Mincho" w:eastAsia="MS Mincho" w:hAnsi="MS Mincho" w:cs="MS Mincho" w:hint="eastAsia"/>
          <w:color w:val="000000"/>
          <w:lang w:eastAsia="en-US"/>
        </w:rPr>
        <w:t> </w:t>
      </w:r>
      <w:r w:rsidRPr="00C530C4">
        <w:rPr>
          <w:color w:val="000000"/>
          <w:lang w:eastAsia="en-US"/>
        </w:rPr>
        <w:t xml:space="preserve">regimens in older patients with newly diagnosed AML with &gt; 30% blasts. </w:t>
      </w:r>
      <w:r w:rsidRPr="00C530C4">
        <w:rPr>
          <w:i/>
          <w:iCs/>
          <w:color w:val="000000"/>
          <w:lang w:eastAsia="en-US"/>
        </w:rPr>
        <w:t>Blood</w:t>
      </w:r>
      <w:r w:rsidRPr="00C530C4">
        <w:rPr>
          <w:color w:val="000000"/>
          <w:lang w:eastAsia="en-US"/>
        </w:rPr>
        <w:t xml:space="preserve">. 2015;126(3):291-299. </w:t>
      </w:r>
      <w:r w:rsidRPr="00C530C4">
        <w:rPr>
          <w:rFonts w:ascii="MS Mincho" w:eastAsia="MS Mincho" w:hAnsi="MS Mincho" w:cs="MS Mincho" w:hint="eastAsia"/>
          <w:color w:val="000000"/>
          <w:lang w:eastAsia="en-US"/>
        </w:rPr>
        <w:t> </w:t>
      </w:r>
    </w:p>
    <w:p w14:paraId="17D35EC1"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Döhner H, Seymour JF, Butrym A, et al. Overall survival in older patients with newly diagnosed acute myeloid leukemia (AML) with &gt;30% bone marrow blasts treated with azacitidine by cytogenetic risk status: Results of the AZA-AML-001 study [abstract]. </w:t>
      </w:r>
      <w:r w:rsidRPr="00C530C4">
        <w:rPr>
          <w:i/>
          <w:iCs/>
          <w:color w:val="000000"/>
          <w:lang w:eastAsia="en-US"/>
        </w:rPr>
        <w:t>Blood</w:t>
      </w:r>
      <w:r w:rsidRPr="00C530C4">
        <w:rPr>
          <w:color w:val="000000"/>
          <w:lang w:eastAsia="en-US"/>
        </w:rPr>
        <w:t xml:space="preserve">. 2014;124(21): Abstract 621. </w:t>
      </w:r>
      <w:r w:rsidRPr="00C530C4">
        <w:rPr>
          <w:rFonts w:ascii="MS Mincho" w:eastAsia="MS Mincho" w:hAnsi="MS Mincho" w:cs="MS Mincho" w:hint="eastAsia"/>
          <w:color w:val="000000"/>
          <w:lang w:eastAsia="en-US"/>
        </w:rPr>
        <w:t> </w:t>
      </w:r>
    </w:p>
    <w:p w14:paraId="22E6DB18" w14:textId="77777777" w:rsidR="0017489D" w:rsidRPr="00C530C4"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Kantarjian HM, Thomas XG, Dmoszynska A, et al. Multicenter, randomized, open-label, phase III trial of decitabine versus patient choice, with physician advice, of either supportive care or low-dose cytarabine for the treatment of older patients with newly diagnosed acute myeloid leukemia. </w:t>
      </w:r>
      <w:r w:rsidRPr="00C530C4">
        <w:rPr>
          <w:i/>
          <w:iCs/>
          <w:color w:val="000000"/>
          <w:lang w:eastAsia="en-US"/>
        </w:rPr>
        <w:t>J Clin Oncol</w:t>
      </w:r>
      <w:r w:rsidRPr="00C530C4">
        <w:rPr>
          <w:color w:val="000000"/>
          <w:lang w:eastAsia="en-US"/>
        </w:rPr>
        <w:t xml:space="preserve">. 2012;30(21):2670-2677. </w:t>
      </w:r>
    </w:p>
    <w:p w14:paraId="0D6FFE6A"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lastRenderedPageBreak/>
        <w:t xml:space="preserve">Burnett AK, Milligan D, Prentice AG, et al. A comparison of low-dose cytarabine and hydroxyurea with or without all-trans retinoic acid for acute myeloid leukemia and high-risk myelodysplastic syndrome in patients not considered fit for intensive treatment. </w:t>
      </w:r>
      <w:r w:rsidRPr="00C530C4">
        <w:rPr>
          <w:i/>
          <w:iCs/>
          <w:color w:val="000000"/>
          <w:lang w:eastAsia="en-US"/>
        </w:rPr>
        <w:t>Cancer</w:t>
      </w:r>
      <w:r w:rsidRPr="00C530C4">
        <w:rPr>
          <w:color w:val="000000"/>
          <w:lang w:eastAsia="en-US"/>
        </w:rPr>
        <w:t xml:space="preserve">. 2007;109(6):1114–1124. </w:t>
      </w:r>
      <w:r w:rsidRPr="00C530C4">
        <w:rPr>
          <w:rFonts w:ascii="MS Mincho" w:eastAsia="MS Mincho" w:hAnsi="MS Mincho" w:cs="MS Mincho" w:hint="eastAsia"/>
          <w:color w:val="000000"/>
          <w:lang w:eastAsia="en-US"/>
        </w:rPr>
        <w:t> </w:t>
      </w:r>
    </w:p>
    <w:p w14:paraId="1C7FE20E"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Burnett AK, Russell NH, Hills RK, et al. Addition of gemtuzumab ozogamicin to induction therapy improves survival in older patients with acute myeloid leukemia. </w:t>
      </w:r>
      <w:r w:rsidRPr="00C530C4">
        <w:rPr>
          <w:i/>
          <w:iCs/>
          <w:color w:val="000000"/>
          <w:lang w:eastAsia="en-US"/>
        </w:rPr>
        <w:t>J Clin Oncol</w:t>
      </w:r>
      <w:r w:rsidRPr="00C530C4">
        <w:rPr>
          <w:color w:val="000000"/>
          <w:lang w:eastAsia="en-US"/>
        </w:rPr>
        <w:t xml:space="preserve">. 2012;30(32):3924-3931. </w:t>
      </w:r>
      <w:r w:rsidRPr="00C530C4">
        <w:rPr>
          <w:rFonts w:ascii="MS Mincho" w:eastAsia="MS Mincho" w:hAnsi="MS Mincho" w:cs="MS Mincho" w:hint="eastAsia"/>
          <w:color w:val="000000"/>
          <w:lang w:eastAsia="en-US"/>
        </w:rPr>
        <w:t> </w:t>
      </w:r>
    </w:p>
    <w:p w14:paraId="710FF9BE"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Castaigne S, Pautas C, Terre C, et al. Effect of gemtuzumab ozogamicin on survival of adult patients with de-novo acute myeloid leukaemia (ALFA-0701): a randomised, open-label, phase 3 study. </w:t>
      </w:r>
      <w:r w:rsidRPr="00C530C4">
        <w:rPr>
          <w:i/>
          <w:iCs/>
          <w:color w:val="000000"/>
          <w:lang w:eastAsia="en-US"/>
        </w:rPr>
        <w:t>Lancet</w:t>
      </w:r>
      <w:r w:rsidRPr="00C530C4">
        <w:rPr>
          <w:color w:val="000000"/>
          <w:lang w:eastAsia="en-US"/>
        </w:rPr>
        <w:t xml:space="preserve">. 2012;379(9825):1508-1516. </w:t>
      </w:r>
      <w:r w:rsidRPr="00C530C4">
        <w:rPr>
          <w:rFonts w:ascii="MS Mincho" w:eastAsia="MS Mincho" w:hAnsi="MS Mincho" w:cs="MS Mincho" w:hint="eastAsia"/>
          <w:color w:val="000000"/>
          <w:lang w:eastAsia="en-US"/>
        </w:rPr>
        <w:t> </w:t>
      </w:r>
    </w:p>
    <w:p w14:paraId="0CECD2E1"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rFonts w:eastAsia="Times New Roman"/>
          <w:color w:val="000000"/>
        </w:rPr>
        <w:t>Amadori S, Suciu S, Selleslag D, Aversa F, Gaidano G, Musso M, Annino L,Venditti A, Voso MT, Mazzone C, Magro D, De Fabritiis P, Muus P, Alimena G,Mancini M, Hagemeijer A, Paoloni F, Vignetti M, Fazi P, Meert L, Ramadan SM,Willemze R, de Witte T, Baron F. Gemtuzumab Ozogamicin Versus Best Supportive</w:t>
      </w:r>
      <w:r>
        <w:rPr>
          <w:color w:val="000000"/>
          <w:lang w:eastAsia="en-US"/>
        </w:rPr>
        <w:t xml:space="preserve"> </w:t>
      </w:r>
      <w:r w:rsidRPr="00C530C4">
        <w:rPr>
          <w:rFonts w:eastAsia="Times New Roman"/>
          <w:color w:val="000000"/>
        </w:rPr>
        <w:t>Care in Older Patients With Newly Diagnosed Acute Myeloid Leukemia Unsuitable for Intensive Chemotherapy: Results of the Randomized Phase III EORTC-GIMEMA AML-19 Trial. J Clin Oncol. 2016;34(9):972-979.</w:t>
      </w:r>
    </w:p>
    <w:p w14:paraId="7462C818"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rPr>
        <w:t xml:space="preserve">Amadori S, Suciu S, Stasi R, et al. Sequential combination of gemtuzumab ozogamicin and standard chemotherapy in older patients with newly diagnosed acute myeloid leukemia: results of a randomized phase III trial by the EORTC and GIMEMA consortium (AML-17). </w:t>
      </w:r>
      <w:r w:rsidRPr="00C530C4">
        <w:rPr>
          <w:i/>
          <w:iCs/>
          <w:color w:val="000000"/>
        </w:rPr>
        <w:t>J Clin Oncol</w:t>
      </w:r>
      <w:r w:rsidRPr="00C530C4">
        <w:rPr>
          <w:color w:val="000000"/>
        </w:rPr>
        <w:t xml:space="preserve">. 2013;31(35):4424-4430. </w:t>
      </w:r>
      <w:r w:rsidRPr="00C530C4">
        <w:rPr>
          <w:rFonts w:ascii="MS Mincho" w:eastAsia="MS Mincho" w:hAnsi="MS Mincho" w:cs="MS Mincho" w:hint="eastAsia"/>
          <w:color w:val="000000"/>
        </w:rPr>
        <w:t> </w:t>
      </w:r>
    </w:p>
    <w:p w14:paraId="0CA33011"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rPr>
        <w:t xml:space="preserve">Ravandi F, Cortes J, Faderl S, et al. Characteristics and outcome of patients with acute myeloid leukemia refractory to one cycle of high dose cytarabine-based induction chemotherapy. </w:t>
      </w:r>
      <w:r w:rsidRPr="00C530C4">
        <w:rPr>
          <w:i/>
          <w:iCs/>
          <w:color w:val="000000"/>
        </w:rPr>
        <w:t>Blood</w:t>
      </w:r>
      <w:r w:rsidRPr="00C530C4">
        <w:rPr>
          <w:color w:val="000000"/>
        </w:rPr>
        <w:t xml:space="preserve">. 2010;116(26):5818- 5823 </w:t>
      </w:r>
      <w:r w:rsidRPr="00C530C4">
        <w:rPr>
          <w:rFonts w:ascii="MS Mincho" w:eastAsia="MS Mincho" w:hAnsi="MS Mincho" w:cs="MS Mincho" w:hint="eastAsia"/>
          <w:color w:val="000000"/>
        </w:rPr>
        <w:t> </w:t>
      </w:r>
    </w:p>
    <w:p w14:paraId="6B77ACA7"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rPr>
        <w:t xml:space="preserve">Price SL, Lancet JE, George TJ, et al. Salvage chemotherapy regimens for acute myeloid leukemia: Is one better? Efficacy comparison between CLAG and MEC regimens. </w:t>
      </w:r>
      <w:r w:rsidRPr="00C530C4">
        <w:rPr>
          <w:i/>
          <w:iCs/>
          <w:color w:val="000000"/>
        </w:rPr>
        <w:t>Leuk Res</w:t>
      </w:r>
      <w:r w:rsidRPr="00C530C4">
        <w:rPr>
          <w:color w:val="000000"/>
        </w:rPr>
        <w:t xml:space="preserve">. 2011;35(3):301-304 </w:t>
      </w:r>
    </w:p>
    <w:p w14:paraId="69277083"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Faderl S, Wetzler M, Rizzieri D, et al. Clofarabine plus cytarabine compared with cytarabine alone in older patients with relapsed or refractory acute myelogenous leukemia: results from the CLASSIC I Trial. </w:t>
      </w:r>
      <w:r w:rsidRPr="00C530C4">
        <w:rPr>
          <w:i/>
          <w:iCs/>
          <w:color w:val="000000"/>
          <w:lang w:eastAsia="en-US"/>
        </w:rPr>
        <w:t>J Clin Oncol</w:t>
      </w:r>
      <w:r w:rsidRPr="00C530C4">
        <w:rPr>
          <w:color w:val="000000"/>
          <w:lang w:eastAsia="en-US"/>
        </w:rPr>
        <w:t>. 2012;30(20):2492-2499</w:t>
      </w:r>
      <w:r w:rsidRPr="00C530C4">
        <w:rPr>
          <w:rFonts w:ascii="Helvetica" w:hAnsi="Helvetica" w:cs="Helvetica"/>
          <w:color w:val="000000"/>
          <w:sz w:val="21"/>
          <w:szCs w:val="21"/>
          <w:lang w:eastAsia="en-US"/>
        </w:rPr>
        <w:t xml:space="preserve"> </w:t>
      </w:r>
    </w:p>
    <w:p w14:paraId="29143685"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Holtick U, Shimabukuro Vornhagen A, Chakupurakal G, et al. FLAMSA reduced intensity conditioning is equally effective in AML patients with primary induction failure as well as in first or second complete remission. </w:t>
      </w:r>
      <w:r w:rsidRPr="00C530C4">
        <w:rPr>
          <w:i/>
          <w:iCs/>
          <w:color w:val="000000"/>
          <w:lang w:eastAsia="en-US"/>
        </w:rPr>
        <w:t>Eur J Haematol</w:t>
      </w:r>
      <w:r w:rsidRPr="00C530C4">
        <w:rPr>
          <w:color w:val="000000"/>
          <w:lang w:eastAsia="en-US"/>
        </w:rPr>
        <w:t xml:space="preserve">. 2016;96(5):475-82 </w:t>
      </w:r>
      <w:r w:rsidRPr="00C530C4">
        <w:rPr>
          <w:rFonts w:ascii="MS Mincho" w:eastAsia="MS Mincho" w:hAnsi="MS Mincho" w:cs="MS Mincho" w:hint="eastAsia"/>
          <w:color w:val="000000"/>
          <w:lang w:eastAsia="en-US"/>
        </w:rPr>
        <w:t> </w:t>
      </w:r>
    </w:p>
    <w:p w14:paraId="077C597F"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C530C4">
        <w:rPr>
          <w:color w:val="000000"/>
          <w:lang w:eastAsia="en-US"/>
        </w:rPr>
        <w:t xml:space="preserve">Schmid C, Schleuning M, Schwerdtfeger R, et al. Long-term survival in refractory acute myeloid leukemia after sequential treatment with chemotherapy and reduced-intensity conditioning for allogeneic stem cell transplantation. </w:t>
      </w:r>
      <w:r w:rsidRPr="00C530C4">
        <w:rPr>
          <w:i/>
          <w:iCs/>
          <w:color w:val="000000"/>
          <w:lang w:eastAsia="en-US"/>
        </w:rPr>
        <w:t>Blood</w:t>
      </w:r>
      <w:r w:rsidRPr="00C530C4">
        <w:rPr>
          <w:color w:val="000000"/>
          <w:lang w:eastAsia="en-US"/>
        </w:rPr>
        <w:t>. 2006;108(3):1092-1099.</w:t>
      </w:r>
      <w:r w:rsidRPr="00C530C4">
        <w:rPr>
          <w:rFonts w:ascii="Helvetica" w:hAnsi="Helvetica" w:cs="Helvetica"/>
          <w:color w:val="000000"/>
          <w:sz w:val="21"/>
          <w:szCs w:val="21"/>
          <w:lang w:eastAsia="en-US"/>
        </w:rPr>
        <w:t xml:space="preserve"> </w:t>
      </w:r>
    </w:p>
    <w:p w14:paraId="4882140F"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E4415">
        <w:rPr>
          <w:rFonts w:eastAsia="Times New Roman"/>
        </w:rPr>
        <w:t>Sanz MA, Lo-Coco F. Modern approaches to treating acute promyelocytic leukemia. J Clin Oncol 2011; 29(5): 495–503</w:t>
      </w:r>
    </w:p>
    <w:p w14:paraId="414862C2"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E4415">
        <w:rPr>
          <w:rFonts w:eastAsia="Times New Roman"/>
        </w:rPr>
        <w:lastRenderedPageBreak/>
        <w:t>Lo-Coco F, Avvisati G, Vignetti M et al. Front-line treatment of acute promyelocytic leukemia with AIDA induction followed by risk-adapted consolidation for adults younger than 61 years: results of the AIDA-2000 trial of the GIMEMA Group. Blood 2010; 116(17): 3171–3179</w:t>
      </w:r>
    </w:p>
    <w:p w14:paraId="1101881E" w14:textId="77777777" w:rsid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E4415">
        <w:rPr>
          <w:rFonts w:eastAsia="Times New Roman"/>
        </w:rPr>
        <w:t>Feanaux P, Chastang C, Chevret S et al. A randomized comparison of all-trans retinoic acid followed by chemotherapy and ATRA plus chemotherapy and the role of maintenance therapy in newly diagnosed acute promyelocytic leukemia. Blood 1999; 93: 4131–4143.</w:t>
      </w:r>
    </w:p>
    <w:p w14:paraId="02CF9FFF" w14:textId="77777777" w:rsidR="0017489D" w:rsidRPr="0017489D" w:rsidRDefault="0017489D" w:rsidP="0017489D">
      <w:pPr>
        <w:numPr>
          <w:ilvl w:val="0"/>
          <w:numId w:val="38"/>
        </w:numPr>
        <w:tabs>
          <w:tab w:val="left" w:pos="220"/>
          <w:tab w:val="left" w:pos="720"/>
        </w:tabs>
        <w:autoSpaceDE w:val="0"/>
        <w:autoSpaceDN w:val="0"/>
        <w:adjustRightInd w:val="0"/>
        <w:spacing w:after="213" w:line="260" w:lineRule="atLeast"/>
        <w:rPr>
          <w:color w:val="000000"/>
          <w:lang w:eastAsia="en-US"/>
        </w:rPr>
      </w:pPr>
      <w:r w:rsidRPr="00DE4415">
        <w:rPr>
          <w:rFonts w:eastAsia="Times New Roman"/>
        </w:rPr>
        <w:t>Sanz MA, Montesinos P, Rayón C et al. Risk-adapted treatment of acute promyelocytic leukemia based on all-trans retinoic acid and anthracycline with addition of cytarabine in consolidation therapy for high-risk patients: further improvements in treatment outcome. Blood 2010; 115(25): 5137–5146</w:t>
      </w:r>
    </w:p>
    <w:p w14:paraId="6D356698" w14:textId="77777777" w:rsidR="0017489D" w:rsidRPr="00BD658F" w:rsidRDefault="0017489D" w:rsidP="0017489D">
      <w:pPr>
        <w:pStyle w:val="ListeParagraf"/>
        <w:numPr>
          <w:ilvl w:val="0"/>
          <w:numId w:val="38"/>
        </w:numPr>
        <w:rPr>
          <w:rFonts w:ascii="Times New Roman" w:eastAsia="Times New Roman" w:hAnsi="Times New Roman" w:cs="Times New Roman"/>
        </w:rPr>
      </w:pPr>
      <w:r w:rsidRPr="00BD658F">
        <w:rPr>
          <w:rFonts w:ascii="Times New Roman" w:eastAsia="Times New Roman" w:hAnsi="Times New Roman" w:cs="Times New Roman"/>
        </w:rPr>
        <w:t>Jabbour E, O’Brien S, Konopleva M, Kantarjian H. New insights into the pathophysiology and therapy of adult acute lymphoblastic leukemia. Cancer. 2015;121(15): 2517-2528.</w:t>
      </w:r>
    </w:p>
    <w:p w14:paraId="34ADBA26" w14:textId="77777777" w:rsidR="0017489D" w:rsidRPr="00BD658F" w:rsidRDefault="0017489D" w:rsidP="0017489D">
      <w:pPr>
        <w:pStyle w:val="ListeParagraf"/>
        <w:numPr>
          <w:ilvl w:val="0"/>
          <w:numId w:val="38"/>
        </w:numPr>
        <w:rPr>
          <w:rFonts w:ascii="Times New Roman" w:eastAsia="Times New Roman" w:hAnsi="Times New Roman" w:cs="Times New Roman"/>
        </w:rPr>
      </w:pPr>
      <w:r w:rsidRPr="00BD658F">
        <w:rPr>
          <w:rFonts w:ascii="Times New Roman" w:eastAsia="Times New Roman" w:hAnsi="Times New Roman" w:cs="Times New Roman"/>
        </w:rPr>
        <w:t>Jemal A, Tiwari RC, Murray T, et al; American Cancer Society. Cancer Statistics, 2004. CA Cancer J Clin. 2004;54(1): 8-29.</w:t>
      </w:r>
    </w:p>
    <w:p w14:paraId="07CB110F" w14:textId="77777777" w:rsidR="0017489D" w:rsidRPr="00BD658F" w:rsidRDefault="0017489D" w:rsidP="0017489D">
      <w:pPr>
        <w:pStyle w:val="ListeParagraf"/>
        <w:numPr>
          <w:ilvl w:val="0"/>
          <w:numId w:val="38"/>
        </w:numPr>
        <w:rPr>
          <w:rFonts w:ascii="Times New Roman" w:eastAsia="Times New Roman" w:hAnsi="Times New Roman" w:cs="Times New Roman"/>
        </w:rPr>
      </w:pPr>
      <w:r w:rsidRPr="00BD658F">
        <w:rPr>
          <w:rFonts w:ascii="Times New Roman" w:eastAsia="Times New Roman" w:hAnsi="Times New Roman" w:cs="Times New Roman"/>
        </w:rPr>
        <w:t>Hasle H. Pattern of malignant disorders in individuals with Down’s syndrome. Lancet Oncol. 2001;2(7):429-436.</w:t>
      </w:r>
    </w:p>
    <w:p w14:paraId="145A2A58" w14:textId="77777777" w:rsidR="0017489D" w:rsidRPr="00BD658F" w:rsidRDefault="0017489D" w:rsidP="0017489D">
      <w:pPr>
        <w:pStyle w:val="ListeParagraf"/>
        <w:numPr>
          <w:ilvl w:val="0"/>
          <w:numId w:val="38"/>
        </w:numPr>
        <w:rPr>
          <w:rFonts w:ascii="Times New Roman" w:eastAsia="Times New Roman" w:hAnsi="Times New Roman" w:cs="Times New Roman"/>
        </w:rPr>
      </w:pPr>
      <w:r w:rsidRPr="00BD658F">
        <w:rPr>
          <w:rFonts w:ascii="Times New Roman" w:eastAsia="Times New Roman" w:hAnsi="Times New Roman" w:cs="Times New Roman"/>
        </w:rPr>
        <w:t>Gurgey A, Kara A, Tuncer M, Alikas¸ifo</w:t>
      </w:r>
      <w:r w:rsidRPr="00BD658F">
        <w:rPr>
          <w:rFonts w:ascii="Times New Roman" w:eastAsia="Times New Roman" w:hAnsi="Times New Roman" w:cs="Times New Roman"/>
        </w:rPr>
        <w:t>glu M, Tunçbilek E. Acute lymphoblastic leukemia associated with Klinefelter syndrome. Pediatr Hematol Oncol. 1994;11(2):227-229.</w:t>
      </w:r>
    </w:p>
    <w:p w14:paraId="621726CB" w14:textId="77777777" w:rsidR="0017489D" w:rsidRPr="00BD658F" w:rsidRDefault="0017489D" w:rsidP="0017489D">
      <w:pPr>
        <w:pStyle w:val="ListeParagraf"/>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D658F">
        <w:rPr>
          <w:rFonts w:ascii="Times New Roman" w:eastAsia="Times New Roman" w:hAnsi="Times New Roman" w:cs="Times New Roman"/>
          <w:color w:val="000000"/>
        </w:rPr>
        <w:t>Hoelzer D, Bassan R, Dombret H, Fielding A, Ribera JM, Buske C; ESMO</w:t>
      </w:r>
    </w:p>
    <w:p w14:paraId="2D3815C2" w14:textId="77777777" w:rsidR="0017489D" w:rsidRPr="00BD658F" w:rsidRDefault="0017489D" w:rsidP="0017489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D658F">
        <w:rPr>
          <w:rFonts w:ascii="Times New Roman" w:eastAsia="Times New Roman" w:hAnsi="Times New Roman" w:cs="Times New Roman"/>
          <w:color w:val="000000"/>
        </w:rPr>
        <w:t>Guidelines Committee. Acute lymphoblastic leukaemia in adult patients: ESMO</w:t>
      </w:r>
    </w:p>
    <w:p w14:paraId="5BA78F6A" w14:textId="77777777" w:rsidR="0017489D" w:rsidRPr="00BD658F" w:rsidRDefault="0017489D" w:rsidP="0017489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D658F">
        <w:rPr>
          <w:rFonts w:ascii="Times New Roman" w:eastAsia="Times New Roman" w:hAnsi="Times New Roman" w:cs="Times New Roman"/>
          <w:color w:val="000000"/>
        </w:rPr>
        <w:t>Clinical Practice Guidelines for diagnosis, treatment and follow-up. Ann Oncol.</w:t>
      </w:r>
    </w:p>
    <w:p w14:paraId="4635AA7A" w14:textId="77777777" w:rsidR="0017489D" w:rsidRPr="00BD658F" w:rsidRDefault="0017489D" w:rsidP="0017489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D658F">
        <w:rPr>
          <w:rFonts w:ascii="Times New Roman" w:eastAsia="Times New Roman" w:hAnsi="Times New Roman" w:cs="Times New Roman"/>
          <w:color w:val="000000"/>
        </w:rPr>
        <w:t>2016 Sep;27(suppl 5):v69-v82.</w:t>
      </w:r>
    </w:p>
    <w:p w14:paraId="13D9E36A" w14:textId="77777777" w:rsidR="0017489D" w:rsidRPr="005766F6" w:rsidRDefault="0017489D" w:rsidP="0017489D">
      <w:pPr>
        <w:pStyle w:val="ListeParagraf"/>
        <w:rPr>
          <w:rFonts w:eastAsia="Times New Roman"/>
        </w:rPr>
      </w:pPr>
    </w:p>
    <w:p w14:paraId="71B94FC0" w14:textId="77777777" w:rsidR="0017489D" w:rsidRPr="00DE4415" w:rsidRDefault="0017489D" w:rsidP="0017489D">
      <w:pPr>
        <w:tabs>
          <w:tab w:val="left" w:pos="220"/>
          <w:tab w:val="left" w:pos="720"/>
        </w:tabs>
        <w:autoSpaceDE w:val="0"/>
        <w:autoSpaceDN w:val="0"/>
        <w:adjustRightInd w:val="0"/>
        <w:spacing w:after="213" w:line="260" w:lineRule="atLeast"/>
        <w:ind w:left="720"/>
        <w:rPr>
          <w:color w:val="000000"/>
          <w:lang w:eastAsia="en-US"/>
        </w:rPr>
      </w:pPr>
    </w:p>
    <w:p w14:paraId="480E1428" w14:textId="092C62C1" w:rsidR="00611A8E" w:rsidRPr="00CD51CA" w:rsidRDefault="00611A8E" w:rsidP="00D10D82">
      <w:pPr>
        <w:pStyle w:val="ListeParagraf"/>
        <w:rPr>
          <w:color w:val="000000" w:themeColor="text1"/>
        </w:rPr>
      </w:pPr>
      <w:bookmarkStart w:id="0" w:name="_GoBack"/>
      <w:bookmarkEnd w:id="0"/>
    </w:p>
    <w:sectPr w:rsidR="00611A8E" w:rsidRPr="00CD51CA" w:rsidSect="00E33E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7CDC" w14:textId="77777777" w:rsidR="00BC7674" w:rsidRDefault="00BC7674" w:rsidP="00A3564B">
      <w:r>
        <w:separator/>
      </w:r>
    </w:p>
  </w:endnote>
  <w:endnote w:type="continuationSeparator" w:id="0">
    <w:p w14:paraId="5103B2B2" w14:textId="77777777" w:rsidR="00BC7674" w:rsidRDefault="00BC7674" w:rsidP="00A3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BCF9" w14:textId="77777777" w:rsidR="00BC7674" w:rsidRDefault="00BC7674" w:rsidP="00A3564B">
      <w:r>
        <w:separator/>
      </w:r>
    </w:p>
  </w:footnote>
  <w:footnote w:type="continuationSeparator" w:id="0">
    <w:p w14:paraId="691DB0C4" w14:textId="77777777" w:rsidR="00BC7674" w:rsidRDefault="00BC7674" w:rsidP="00A35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228"/>
    <w:multiLevelType w:val="hybridMultilevel"/>
    <w:tmpl w:val="A6FCA51C"/>
    <w:lvl w:ilvl="0" w:tplc="78BE8B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2314134"/>
    <w:multiLevelType w:val="hybridMultilevel"/>
    <w:tmpl w:val="355C5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14FF9"/>
    <w:multiLevelType w:val="hybridMultilevel"/>
    <w:tmpl w:val="1598F0E0"/>
    <w:lvl w:ilvl="0" w:tplc="4AE23D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6F806D3"/>
    <w:multiLevelType w:val="hybridMultilevel"/>
    <w:tmpl w:val="A6F0E9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0C0D3C"/>
    <w:multiLevelType w:val="hybridMultilevel"/>
    <w:tmpl w:val="D902D2F6"/>
    <w:lvl w:ilvl="0" w:tplc="C300703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1B68A9"/>
    <w:multiLevelType w:val="hybridMultilevel"/>
    <w:tmpl w:val="0A828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8A73B9"/>
    <w:multiLevelType w:val="hybridMultilevel"/>
    <w:tmpl w:val="9B42D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0870C8"/>
    <w:multiLevelType w:val="hybridMultilevel"/>
    <w:tmpl w:val="4FC48A06"/>
    <w:lvl w:ilvl="0" w:tplc="89C6D3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EFF7226"/>
    <w:multiLevelType w:val="hybridMultilevel"/>
    <w:tmpl w:val="E1621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50654D"/>
    <w:multiLevelType w:val="hybridMultilevel"/>
    <w:tmpl w:val="C930B814"/>
    <w:lvl w:ilvl="0" w:tplc="61D4A0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2161AD4"/>
    <w:multiLevelType w:val="hybridMultilevel"/>
    <w:tmpl w:val="5B9287CE"/>
    <w:lvl w:ilvl="0" w:tplc="3872C740">
      <w:start w:val="1"/>
      <w:numFmt w:val="decimal"/>
      <w:lvlText w:val="%1."/>
      <w:lvlJc w:val="left"/>
      <w:pPr>
        <w:ind w:left="720" w:hanging="360"/>
      </w:pPr>
      <w:rPr>
        <w:rFonts w:eastAsiaTheme="minorHAnsi"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A34445"/>
    <w:multiLevelType w:val="hybridMultilevel"/>
    <w:tmpl w:val="10609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6B25E56"/>
    <w:multiLevelType w:val="hybridMultilevel"/>
    <w:tmpl w:val="58CA9116"/>
    <w:lvl w:ilvl="0" w:tplc="CABAE1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7C64118"/>
    <w:multiLevelType w:val="hybridMultilevel"/>
    <w:tmpl w:val="8BA84868"/>
    <w:lvl w:ilvl="0" w:tplc="0D9A0F20">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15:restartNumberingAfterBreak="0">
    <w:nsid w:val="1A2D643B"/>
    <w:multiLevelType w:val="hybridMultilevel"/>
    <w:tmpl w:val="5BB6C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ADE64EF"/>
    <w:multiLevelType w:val="hybridMultilevel"/>
    <w:tmpl w:val="F4227E7C"/>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1B152543"/>
    <w:multiLevelType w:val="hybridMultilevel"/>
    <w:tmpl w:val="D86423AC"/>
    <w:lvl w:ilvl="0" w:tplc="D8B891F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4F51CB"/>
    <w:multiLevelType w:val="hybridMultilevel"/>
    <w:tmpl w:val="9CDC11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312D1F"/>
    <w:multiLevelType w:val="hybridMultilevel"/>
    <w:tmpl w:val="89F01EF6"/>
    <w:lvl w:ilvl="0" w:tplc="BFA80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81315D7"/>
    <w:multiLevelType w:val="hybridMultilevel"/>
    <w:tmpl w:val="0B946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620FD5"/>
    <w:multiLevelType w:val="hybridMultilevel"/>
    <w:tmpl w:val="C84A388C"/>
    <w:lvl w:ilvl="0" w:tplc="D3D2AD54">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DC0E73"/>
    <w:multiLevelType w:val="hybridMultilevel"/>
    <w:tmpl w:val="55ECA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40025B"/>
    <w:multiLevelType w:val="hybridMultilevel"/>
    <w:tmpl w:val="1B0AD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DA64E1"/>
    <w:multiLevelType w:val="hybridMultilevel"/>
    <w:tmpl w:val="9960846E"/>
    <w:lvl w:ilvl="0" w:tplc="2A22DE6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6BF1AD3"/>
    <w:multiLevelType w:val="hybridMultilevel"/>
    <w:tmpl w:val="D982D1B8"/>
    <w:lvl w:ilvl="0" w:tplc="7F3CAF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70522E6"/>
    <w:multiLevelType w:val="hybridMultilevel"/>
    <w:tmpl w:val="952402B6"/>
    <w:lvl w:ilvl="0" w:tplc="540815C8">
      <w:start w:val="1"/>
      <w:numFmt w:val="decimal"/>
      <w:lvlText w:val="%1."/>
      <w:lvlJc w:val="left"/>
      <w:pPr>
        <w:ind w:left="785" w:hanging="360"/>
      </w:pPr>
      <w:rPr>
        <w:rFonts w:hint="default"/>
        <w:b w:val="0"/>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7" w15:restartNumberingAfterBreak="0">
    <w:nsid w:val="59427431"/>
    <w:multiLevelType w:val="hybridMultilevel"/>
    <w:tmpl w:val="2694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F51F73"/>
    <w:multiLevelType w:val="hybridMultilevel"/>
    <w:tmpl w:val="C59EC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DB2FF3"/>
    <w:multiLevelType w:val="hybridMultilevel"/>
    <w:tmpl w:val="D3EC9196"/>
    <w:lvl w:ilvl="0" w:tplc="4770E5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3CB1DEA"/>
    <w:multiLevelType w:val="hybridMultilevel"/>
    <w:tmpl w:val="238AE650"/>
    <w:lvl w:ilvl="0" w:tplc="1D5812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8473A2B"/>
    <w:multiLevelType w:val="hybridMultilevel"/>
    <w:tmpl w:val="7CFC5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C10797"/>
    <w:multiLevelType w:val="hybridMultilevel"/>
    <w:tmpl w:val="81783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214126"/>
    <w:multiLevelType w:val="hybridMultilevel"/>
    <w:tmpl w:val="76DA23BA"/>
    <w:lvl w:ilvl="0" w:tplc="FBFECC6A">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A627CA3"/>
    <w:multiLevelType w:val="hybridMultilevel"/>
    <w:tmpl w:val="8D6AC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D93C59"/>
    <w:multiLevelType w:val="hybridMultilevel"/>
    <w:tmpl w:val="C7907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6C05F1"/>
    <w:multiLevelType w:val="hybridMultilevel"/>
    <w:tmpl w:val="E972427E"/>
    <w:lvl w:ilvl="0" w:tplc="F25AFB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DC60C35"/>
    <w:multiLevelType w:val="hybridMultilevel"/>
    <w:tmpl w:val="49CCAC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E1330D"/>
    <w:multiLevelType w:val="hybridMultilevel"/>
    <w:tmpl w:val="114E4EDC"/>
    <w:lvl w:ilvl="0" w:tplc="BEF2CF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FE78B0"/>
    <w:multiLevelType w:val="hybridMultilevel"/>
    <w:tmpl w:val="43184D80"/>
    <w:lvl w:ilvl="0" w:tplc="788E532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7845E0"/>
    <w:multiLevelType w:val="hybridMultilevel"/>
    <w:tmpl w:val="60E48F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BCA4397"/>
    <w:multiLevelType w:val="hybridMultilevel"/>
    <w:tmpl w:val="80FA8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DA1935"/>
    <w:multiLevelType w:val="hybridMultilevel"/>
    <w:tmpl w:val="20A6EC62"/>
    <w:lvl w:ilvl="0" w:tplc="42366F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D4D3CDE"/>
    <w:multiLevelType w:val="hybridMultilevel"/>
    <w:tmpl w:val="33A835C6"/>
    <w:lvl w:ilvl="0" w:tplc="A2A874F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EDF180F"/>
    <w:multiLevelType w:val="hybridMultilevel"/>
    <w:tmpl w:val="D2160DF6"/>
    <w:lvl w:ilvl="0" w:tplc="CB1C89F4">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7"/>
  </w:num>
  <w:num w:numId="3">
    <w:abstractNumId w:val="22"/>
  </w:num>
  <w:num w:numId="4">
    <w:abstractNumId w:val="35"/>
  </w:num>
  <w:num w:numId="5">
    <w:abstractNumId w:val="4"/>
  </w:num>
  <w:num w:numId="6">
    <w:abstractNumId w:val="9"/>
  </w:num>
  <w:num w:numId="7">
    <w:abstractNumId w:val="40"/>
  </w:num>
  <w:num w:numId="8">
    <w:abstractNumId w:val="12"/>
  </w:num>
  <w:num w:numId="9">
    <w:abstractNumId w:val="5"/>
  </w:num>
  <w:num w:numId="10">
    <w:abstractNumId w:val="39"/>
  </w:num>
  <w:num w:numId="11">
    <w:abstractNumId w:val="18"/>
  </w:num>
  <w:num w:numId="12">
    <w:abstractNumId w:val="3"/>
  </w:num>
  <w:num w:numId="13">
    <w:abstractNumId w:val="2"/>
  </w:num>
  <w:num w:numId="14">
    <w:abstractNumId w:val="24"/>
  </w:num>
  <w:num w:numId="15">
    <w:abstractNumId w:val="44"/>
  </w:num>
  <w:num w:numId="16">
    <w:abstractNumId w:val="16"/>
  </w:num>
  <w:num w:numId="17">
    <w:abstractNumId w:val="29"/>
  </w:num>
  <w:num w:numId="18">
    <w:abstractNumId w:val="15"/>
  </w:num>
  <w:num w:numId="19">
    <w:abstractNumId w:val="25"/>
  </w:num>
  <w:num w:numId="20">
    <w:abstractNumId w:val="42"/>
  </w:num>
  <w:num w:numId="21">
    <w:abstractNumId w:val="6"/>
  </w:num>
  <w:num w:numId="22">
    <w:abstractNumId w:val="8"/>
  </w:num>
  <w:num w:numId="23">
    <w:abstractNumId w:val="32"/>
  </w:num>
  <w:num w:numId="24">
    <w:abstractNumId w:val="34"/>
  </w:num>
  <w:num w:numId="25">
    <w:abstractNumId w:val="13"/>
  </w:num>
  <w:num w:numId="26">
    <w:abstractNumId w:val="20"/>
  </w:num>
  <w:num w:numId="27">
    <w:abstractNumId w:val="14"/>
  </w:num>
  <w:num w:numId="28">
    <w:abstractNumId w:val="36"/>
  </w:num>
  <w:num w:numId="29">
    <w:abstractNumId w:val="28"/>
  </w:num>
  <w:num w:numId="30">
    <w:abstractNumId w:val="37"/>
  </w:num>
  <w:num w:numId="31">
    <w:abstractNumId w:val="10"/>
  </w:num>
  <w:num w:numId="32">
    <w:abstractNumId w:val="43"/>
  </w:num>
  <w:num w:numId="33">
    <w:abstractNumId w:val="7"/>
  </w:num>
  <w:num w:numId="34">
    <w:abstractNumId w:val="33"/>
  </w:num>
  <w:num w:numId="35">
    <w:abstractNumId w:val="0"/>
  </w:num>
  <w:num w:numId="36">
    <w:abstractNumId w:val="38"/>
  </w:num>
  <w:num w:numId="37">
    <w:abstractNumId w:val="30"/>
  </w:num>
  <w:num w:numId="38">
    <w:abstractNumId w:val="23"/>
  </w:num>
  <w:num w:numId="39">
    <w:abstractNumId w:val="1"/>
  </w:num>
  <w:num w:numId="40">
    <w:abstractNumId w:val="19"/>
  </w:num>
  <w:num w:numId="41">
    <w:abstractNumId w:val="27"/>
  </w:num>
  <w:num w:numId="42">
    <w:abstractNumId w:val="21"/>
  </w:num>
  <w:num w:numId="43">
    <w:abstractNumId w:val="26"/>
  </w:num>
  <w:num w:numId="44">
    <w:abstractNumId w:val="4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7D"/>
    <w:rsid w:val="0000512A"/>
    <w:rsid w:val="00014D1B"/>
    <w:rsid w:val="000164D1"/>
    <w:rsid w:val="000173C7"/>
    <w:rsid w:val="00023420"/>
    <w:rsid w:val="00027314"/>
    <w:rsid w:val="00077CE6"/>
    <w:rsid w:val="000803B1"/>
    <w:rsid w:val="000927F3"/>
    <w:rsid w:val="0009749B"/>
    <w:rsid w:val="000B5C68"/>
    <w:rsid w:val="000B648C"/>
    <w:rsid w:val="000B6F3C"/>
    <w:rsid w:val="000D53CB"/>
    <w:rsid w:val="000F48BB"/>
    <w:rsid w:val="000F50D3"/>
    <w:rsid w:val="00111061"/>
    <w:rsid w:val="0011364B"/>
    <w:rsid w:val="00121063"/>
    <w:rsid w:val="00122BD4"/>
    <w:rsid w:val="00126991"/>
    <w:rsid w:val="00137603"/>
    <w:rsid w:val="00146CBD"/>
    <w:rsid w:val="00150826"/>
    <w:rsid w:val="0017041D"/>
    <w:rsid w:val="001741F9"/>
    <w:rsid w:val="0017489D"/>
    <w:rsid w:val="001774B7"/>
    <w:rsid w:val="00180E9E"/>
    <w:rsid w:val="0019536F"/>
    <w:rsid w:val="00197804"/>
    <w:rsid w:val="001A7FAD"/>
    <w:rsid w:val="001B3543"/>
    <w:rsid w:val="001B6D09"/>
    <w:rsid w:val="001C2E78"/>
    <w:rsid w:val="001E3A54"/>
    <w:rsid w:val="001E410A"/>
    <w:rsid w:val="001F3990"/>
    <w:rsid w:val="001F7F8F"/>
    <w:rsid w:val="002143A0"/>
    <w:rsid w:val="0021453A"/>
    <w:rsid w:val="00224F54"/>
    <w:rsid w:val="0022661B"/>
    <w:rsid w:val="00226C60"/>
    <w:rsid w:val="002458AC"/>
    <w:rsid w:val="00257517"/>
    <w:rsid w:val="00296580"/>
    <w:rsid w:val="002A1EA2"/>
    <w:rsid w:val="002A58CB"/>
    <w:rsid w:val="002A79B1"/>
    <w:rsid w:val="002B07DC"/>
    <w:rsid w:val="002C06EF"/>
    <w:rsid w:val="002C3197"/>
    <w:rsid w:val="002C62C7"/>
    <w:rsid w:val="00303250"/>
    <w:rsid w:val="00311525"/>
    <w:rsid w:val="00311EF1"/>
    <w:rsid w:val="0031508A"/>
    <w:rsid w:val="0031756E"/>
    <w:rsid w:val="00333456"/>
    <w:rsid w:val="00336BE0"/>
    <w:rsid w:val="003410A7"/>
    <w:rsid w:val="00350D77"/>
    <w:rsid w:val="003530F8"/>
    <w:rsid w:val="00365B53"/>
    <w:rsid w:val="003711D1"/>
    <w:rsid w:val="00372B70"/>
    <w:rsid w:val="00380D7C"/>
    <w:rsid w:val="003A2329"/>
    <w:rsid w:val="003A5374"/>
    <w:rsid w:val="003B69A7"/>
    <w:rsid w:val="003C06E4"/>
    <w:rsid w:val="003D39EB"/>
    <w:rsid w:val="00401A22"/>
    <w:rsid w:val="00403DA1"/>
    <w:rsid w:val="004173E2"/>
    <w:rsid w:val="0042151E"/>
    <w:rsid w:val="00422D91"/>
    <w:rsid w:val="004320E0"/>
    <w:rsid w:val="0043461F"/>
    <w:rsid w:val="00436488"/>
    <w:rsid w:val="0044102B"/>
    <w:rsid w:val="0044258A"/>
    <w:rsid w:val="00455B52"/>
    <w:rsid w:val="00455F3D"/>
    <w:rsid w:val="004876CD"/>
    <w:rsid w:val="00491C0F"/>
    <w:rsid w:val="004966E8"/>
    <w:rsid w:val="00496D93"/>
    <w:rsid w:val="004B677D"/>
    <w:rsid w:val="004B72E9"/>
    <w:rsid w:val="004B7B4D"/>
    <w:rsid w:val="004D140A"/>
    <w:rsid w:val="004E11F2"/>
    <w:rsid w:val="005013AA"/>
    <w:rsid w:val="0051286B"/>
    <w:rsid w:val="00513006"/>
    <w:rsid w:val="00513409"/>
    <w:rsid w:val="0051729E"/>
    <w:rsid w:val="0052028C"/>
    <w:rsid w:val="0054125B"/>
    <w:rsid w:val="00550598"/>
    <w:rsid w:val="005656FD"/>
    <w:rsid w:val="005A0463"/>
    <w:rsid w:val="005A2A56"/>
    <w:rsid w:val="005A5FA0"/>
    <w:rsid w:val="005A6586"/>
    <w:rsid w:val="005B6B5C"/>
    <w:rsid w:val="005C238E"/>
    <w:rsid w:val="005D0E85"/>
    <w:rsid w:val="005D38F4"/>
    <w:rsid w:val="005E1789"/>
    <w:rsid w:val="005E3B5B"/>
    <w:rsid w:val="005F72CB"/>
    <w:rsid w:val="00603A27"/>
    <w:rsid w:val="00604003"/>
    <w:rsid w:val="00607E26"/>
    <w:rsid w:val="00611A8E"/>
    <w:rsid w:val="006157C2"/>
    <w:rsid w:val="00621208"/>
    <w:rsid w:val="006234C9"/>
    <w:rsid w:val="006241E0"/>
    <w:rsid w:val="00626449"/>
    <w:rsid w:val="0063149D"/>
    <w:rsid w:val="00633A51"/>
    <w:rsid w:val="006402B4"/>
    <w:rsid w:val="00652113"/>
    <w:rsid w:val="00655D00"/>
    <w:rsid w:val="00657E2C"/>
    <w:rsid w:val="00665B00"/>
    <w:rsid w:val="006858DE"/>
    <w:rsid w:val="006924FC"/>
    <w:rsid w:val="006A4137"/>
    <w:rsid w:val="006B0202"/>
    <w:rsid w:val="006E2A71"/>
    <w:rsid w:val="00702B4C"/>
    <w:rsid w:val="00703825"/>
    <w:rsid w:val="00704A70"/>
    <w:rsid w:val="007062B2"/>
    <w:rsid w:val="007152C1"/>
    <w:rsid w:val="00720D1C"/>
    <w:rsid w:val="00727D1F"/>
    <w:rsid w:val="007345B6"/>
    <w:rsid w:val="0073547F"/>
    <w:rsid w:val="00763AEB"/>
    <w:rsid w:val="007719B7"/>
    <w:rsid w:val="0077777A"/>
    <w:rsid w:val="00791B4D"/>
    <w:rsid w:val="007A2C3E"/>
    <w:rsid w:val="007A5F92"/>
    <w:rsid w:val="007B1022"/>
    <w:rsid w:val="007C4F58"/>
    <w:rsid w:val="007C5E49"/>
    <w:rsid w:val="007D1871"/>
    <w:rsid w:val="007D51F8"/>
    <w:rsid w:val="007D7BC5"/>
    <w:rsid w:val="007F5DAA"/>
    <w:rsid w:val="008046B2"/>
    <w:rsid w:val="0082722C"/>
    <w:rsid w:val="00832761"/>
    <w:rsid w:val="00832B77"/>
    <w:rsid w:val="00834D09"/>
    <w:rsid w:val="00837D40"/>
    <w:rsid w:val="00875E73"/>
    <w:rsid w:val="00877BA4"/>
    <w:rsid w:val="00880392"/>
    <w:rsid w:val="008816C9"/>
    <w:rsid w:val="00882BA6"/>
    <w:rsid w:val="008A106C"/>
    <w:rsid w:val="008A6570"/>
    <w:rsid w:val="008A7C78"/>
    <w:rsid w:val="008B0FF4"/>
    <w:rsid w:val="008B1DFD"/>
    <w:rsid w:val="008B37B6"/>
    <w:rsid w:val="008C0B41"/>
    <w:rsid w:val="008C4B0A"/>
    <w:rsid w:val="008D05FB"/>
    <w:rsid w:val="008D6B3C"/>
    <w:rsid w:val="008D768F"/>
    <w:rsid w:val="008D7BD2"/>
    <w:rsid w:val="008E7EBB"/>
    <w:rsid w:val="008F0570"/>
    <w:rsid w:val="008F3105"/>
    <w:rsid w:val="008F6BE4"/>
    <w:rsid w:val="00904328"/>
    <w:rsid w:val="0090543A"/>
    <w:rsid w:val="009075A3"/>
    <w:rsid w:val="009133B4"/>
    <w:rsid w:val="009168D6"/>
    <w:rsid w:val="0092417E"/>
    <w:rsid w:val="009260AC"/>
    <w:rsid w:val="009315C4"/>
    <w:rsid w:val="00946592"/>
    <w:rsid w:val="009477D9"/>
    <w:rsid w:val="00954529"/>
    <w:rsid w:val="00963DF2"/>
    <w:rsid w:val="0096536A"/>
    <w:rsid w:val="009816A7"/>
    <w:rsid w:val="00982423"/>
    <w:rsid w:val="00985F57"/>
    <w:rsid w:val="00987B3C"/>
    <w:rsid w:val="00987BE4"/>
    <w:rsid w:val="00996269"/>
    <w:rsid w:val="00996B55"/>
    <w:rsid w:val="009B3CEF"/>
    <w:rsid w:val="009D3314"/>
    <w:rsid w:val="009D4411"/>
    <w:rsid w:val="009D5753"/>
    <w:rsid w:val="009E054B"/>
    <w:rsid w:val="009E07A9"/>
    <w:rsid w:val="009E28FF"/>
    <w:rsid w:val="009E4E30"/>
    <w:rsid w:val="009E56EC"/>
    <w:rsid w:val="009F1BD8"/>
    <w:rsid w:val="009F3B79"/>
    <w:rsid w:val="00A016D5"/>
    <w:rsid w:val="00A201A2"/>
    <w:rsid w:val="00A240BA"/>
    <w:rsid w:val="00A26825"/>
    <w:rsid w:val="00A31838"/>
    <w:rsid w:val="00A3564B"/>
    <w:rsid w:val="00A604F9"/>
    <w:rsid w:val="00A62B9F"/>
    <w:rsid w:val="00A71C26"/>
    <w:rsid w:val="00A724A6"/>
    <w:rsid w:val="00A83F68"/>
    <w:rsid w:val="00A85986"/>
    <w:rsid w:val="00AA4A58"/>
    <w:rsid w:val="00AB4696"/>
    <w:rsid w:val="00AC7507"/>
    <w:rsid w:val="00AD763C"/>
    <w:rsid w:val="00AE6E79"/>
    <w:rsid w:val="00AF158E"/>
    <w:rsid w:val="00AF54EE"/>
    <w:rsid w:val="00B01BA7"/>
    <w:rsid w:val="00B13995"/>
    <w:rsid w:val="00B14466"/>
    <w:rsid w:val="00B27900"/>
    <w:rsid w:val="00B309CB"/>
    <w:rsid w:val="00B442FE"/>
    <w:rsid w:val="00B45EF2"/>
    <w:rsid w:val="00B47576"/>
    <w:rsid w:val="00B5274D"/>
    <w:rsid w:val="00B53394"/>
    <w:rsid w:val="00B5340E"/>
    <w:rsid w:val="00B62BF9"/>
    <w:rsid w:val="00B652E8"/>
    <w:rsid w:val="00B674C7"/>
    <w:rsid w:val="00B67EFB"/>
    <w:rsid w:val="00B711F1"/>
    <w:rsid w:val="00BB152E"/>
    <w:rsid w:val="00BB1D35"/>
    <w:rsid w:val="00BC1462"/>
    <w:rsid w:val="00BC2E37"/>
    <w:rsid w:val="00BC7674"/>
    <w:rsid w:val="00BD764B"/>
    <w:rsid w:val="00BE38E1"/>
    <w:rsid w:val="00BE7799"/>
    <w:rsid w:val="00BF03BC"/>
    <w:rsid w:val="00BF2002"/>
    <w:rsid w:val="00BF33D1"/>
    <w:rsid w:val="00BF63E9"/>
    <w:rsid w:val="00C1487B"/>
    <w:rsid w:val="00C154DB"/>
    <w:rsid w:val="00C16B97"/>
    <w:rsid w:val="00C22B33"/>
    <w:rsid w:val="00C32691"/>
    <w:rsid w:val="00C3786B"/>
    <w:rsid w:val="00C4067F"/>
    <w:rsid w:val="00C41ED6"/>
    <w:rsid w:val="00C51408"/>
    <w:rsid w:val="00C64D36"/>
    <w:rsid w:val="00C6694F"/>
    <w:rsid w:val="00C91168"/>
    <w:rsid w:val="00CA406D"/>
    <w:rsid w:val="00CC30D7"/>
    <w:rsid w:val="00CC76F8"/>
    <w:rsid w:val="00CD0469"/>
    <w:rsid w:val="00CD4D23"/>
    <w:rsid w:val="00CD51CA"/>
    <w:rsid w:val="00CD649B"/>
    <w:rsid w:val="00CD6EC1"/>
    <w:rsid w:val="00D10D82"/>
    <w:rsid w:val="00D23AE3"/>
    <w:rsid w:val="00D32135"/>
    <w:rsid w:val="00D34F2D"/>
    <w:rsid w:val="00D354CB"/>
    <w:rsid w:val="00D43A4A"/>
    <w:rsid w:val="00D47504"/>
    <w:rsid w:val="00D51C2E"/>
    <w:rsid w:val="00D662CA"/>
    <w:rsid w:val="00D70E0B"/>
    <w:rsid w:val="00D920CB"/>
    <w:rsid w:val="00DB0808"/>
    <w:rsid w:val="00DB4890"/>
    <w:rsid w:val="00DC2438"/>
    <w:rsid w:val="00DD3491"/>
    <w:rsid w:val="00DD42B8"/>
    <w:rsid w:val="00DE2112"/>
    <w:rsid w:val="00DE372B"/>
    <w:rsid w:val="00DE4415"/>
    <w:rsid w:val="00E038BC"/>
    <w:rsid w:val="00E03C21"/>
    <w:rsid w:val="00E06FED"/>
    <w:rsid w:val="00E17B16"/>
    <w:rsid w:val="00E33E8D"/>
    <w:rsid w:val="00E350A4"/>
    <w:rsid w:val="00E3728C"/>
    <w:rsid w:val="00E478CA"/>
    <w:rsid w:val="00E479ED"/>
    <w:rsid w:val="00E51E1F"/>
    <w:rsid w:val="00E55F69"/>
    <w:rsid w:val="00E57442"/>
    <w:rsid w:val="00E6178D"/>
    <w:rsid w:val="00E65154"/>
    <w:rsid w:val="00E66C2B"/>
    <w:rsid w:val="00E676B3"/>
    <w:rsid w:val="00E846E3"/>
    <w:rsid w:val="00E96A5C"/>
    <w:rsid w:val="00EA0B15"/>
    <w:rsid w:val="00EA3BAD"/>
    <w:rsid w:val="00EB0327"/>
    <w:rsid w:val="00EB196C"/>
    <w:rsid w:val="00EB51A0"/>
    <w:rsid w:val="00EB7A40"/>
    <w:rsid w:val="00ED5855"/>
    <w:rsid w:val="00EE24CD"/>
    <w:rsid w:val="00F06390"/>
    <w:rsid w:val="00F107D7"/>
    <w:rsid w:val="00F164F7"/>
    <w:rsid w:val="00F20BA1"/>
    <w:rsid w:val="00F229E8"/>
    <w:rsid w:val="00F45E33"/>
    <w:rsid w:val="00F65174"/>
    <w:rsid w:val="00F76433"/>
    <w:rsid w:val="00F8245E"/>
    <w:rsid w:val="00F83005"/>
    <w:rsid w:val="00F911AB"/>
    <w:rsid w:val="00FA2694"/>
    <w:rsid w:val="00FA2949"/>
    <w:rsid w:val="00FB5B72"/>
    <w:rsid w:val="00FB5D17"/>
    <w:rsid w:val="00FB6D49"/>
    <w:rsid w:val="00FC16B0"/>
    <w:rsid w:val="00FD4B56"/>
    <w:rsid w:val="00FF5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E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B3C"/>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07D7"/>
    <w:pPr>
      <w:ind w:left="720"/>
      <w:contextualSpacing/>
    </w:pPr>
    <w:rPr>
      <w:rFonts w:asciiTheme="minorHAnsi" w:hAnsiTheme="minorHAnsi" w:cstheme="minorBidi"/>
      <w:lang w:eastAsia="en-US"/>
    </w:rPr>
  </w:style>
  <w:style w:type="table" w:styleId="TabloKlavuzu">
    <w:name w:val="Table Grid"/>
    <w:basedOn w:val="NormalTablo"/>
    <w:uiPriority w:val="39"/>
    <w:rsid w:val="0083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3564B"/>
    <w:pPr>
      <w:tabs>
        <w:tab w:val="center" w:pos="4536"/>
        <w:tab w:val="right" w:pos="9072"/>
      </w:tabs>
    </w:pPr>
  </w:style>
  <w:style w:type="character" w:customStyle="1" w:styleId="stBilgiChar">
    <w:name w:val="Üst Bilgi Char"/>
    <w:basedOn w:val="VarsaylanParagrafYazTipi"/>
    <w:link w:val="stBilgi"/>
    <w:uiPriority w:val="99"/>
    <w:rsid w:val="00A3564B"/>
    <w:rPr>
      <w:rFonts w:ascii="Times New Roman" w:hAnsi="Times New Roman" w:cs="Times New Roman"/>
      <w:lang w:eastAsia="tr-TR"/>
    </w:rPr>
  </w:style>
  <w:style w:type="paragraph" w:styleId="AltBilgi">
    <w:name w:val="footer"/>
    <w:basedOn w:val="Normal"/>
    <w:link w:val="AltBilgiChar"/>
    <w:uiPriority w:val="99"/>
    <w:unhideWhenUsed/>
    <w:rsid w:val="00A3564B"/>
    <w:pPr>
      <w:tabs>
        <w:tab w:val="center" w:pos="4536"/>
        <w:tab w:val="right" w:pos="9072"/>
      </w:tabs>
    </w:pPr>
  </w:style>
  <w:style w:type="character" w:customStyle="1" w:styleId="AltBilgiChar">
    <w:name w:val="Alt Bilgi Char"/>
    <w:basedOn w:val="VarsaylanParagrafYazTipi"/>
    <w:link w:val="AltBilgi"/>
    <w:uiPriority w:val="99"/>
    <w:rsid w:val="00A3564B"/>
    <w:rPr>
      <w:rFonts w:ascii="Times New Roman" w:hAnsi="Times New Roman" w:cs="Times New Roman"/>
      <w:lang w:eastAsia="tr-TR"/>
    </w:rPr>
  </w:style>
  <w:style w:type="paragraph" w:styleId="HTMLncedenBiimlendirilmi">
    <w:name w:val="HTML Preformatted"/>
    <w:basedOn w:val="Normal"/>
    <w:link w:val="HTMLncedenBiimlendirilmiChar"/>
    <w:uiPriority w:val="99"/>
    <w:semiHidden/>
    <w:unhideWhenUsed/>
    <w:rsid w:val="00BE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E38E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033">
      <w:bodyDiv w:val="1"/>
      <w:marLeft w:val="0"/>
      <w:marRight w:val="0"/>
      <w:marTop w:val="0"/>
      <w:marBottom w:val="0"/>
      <w:divBdr>
        <w:top w:val="none" w:sz="0" w:space="0" w:color="auto"/>
        <w:left w:val="none" w:sz="0" w:space="0" w:color="auto"/>
        <w:bottom w:val="none" w:sz="0" w:space="0" w:color="auto"/>
        <w:right w:val="none" w:sz="0" w:space="0" w:color="auto"/>
      </w:divBdr>
    </w:div>
    <w:div w:id="255288575">
      <w:bodyDiv w:val="1"/>
      <w:marLeft w:val="0"/>
      <w:marRight w:val="0"/>
      <w:marTop w:val="0"/>
      <w:marBottom w:val="0"/>
      <w:divBdr>
        <w:top w:val="none" w:sz="0" w:space="0" w:color="auto"/>
        <w:left w:val="none" w:sz="0" w:space="0" w:color="auto"/>
        <w:bottom w:val="none" w:sz="0" w:space="0" w:color="auto"/>
        <w:right w:val="none" w:sz="0" w:space="0" w:color="auto"/>
      </w:divBdr>
    </w:div>
    <w:div w:id="646709653">
      <w:bodyDiv w:val="1"/>
      <w:marLeft w:val="0"/>
      <w:marRight w:val="0"/>
      <w:marTop w:val="0"/>
      <w:marBottom w:val="0"/>
      <w:divBdr>
        <w:top w:val="none" w:sz="0" w:space="0" w:color="auto"/>
        <w:left w:val="none" w:sz="0" w:space="0" w:color="auto"/>
        <w:bottom w:val="none" w:sz="0" w:space="0" w:color="auto"/>
        <w:right w:val="none" w:sz="0" w:space="0" w:color="auto"/>
      </w:divBdr>
    </w:div>
    <w:div w:id="1153717405">
      <w:bodyDiv w:val="1"/>
      <w:marLeft w:val="0"/>
      <w:marRight w:val="0"/>
      <w:marTop w:val="0"/>
      <w:marBottom w:val="0"/>
      <w:divBdr>
        <w:top w:val="none" w:sz="0" w:space="0" w:color="auto"/>
        <w:left w:val="none" w:sz="0" w:space="0" w:color="auto"/>
        <w:bottom w:val="none" w:sz="0" w:space="0" w:color="auto"/>
        <w:right w:val="none" w:sz="0" w:space="0" w:color="auto"/>
      </w:divBdr>
    </w:div>
    <w:div w:id="1208836899">
      <w:bodyDiv w:val="1"/>
      <w:marLeft w:val="0"/>
      <w:marRight w:val="0"/>
      <w:marTop w:val="0"/>
      <w:marBottom w:val="0"/>
      <w:divBdr>
        <w:top w:val="none" w:sz="0" w:space="0" w:color="auto"/>
        <w:left w:val="none" w:sz="0" w:space="0" w:color="auto"/>
        <w:bottom w:val="none" w:sz="0" w:space="0" w:color="auto"/>
        <w:right w:val="none" w:sz="0" w:space="0" w:color="auto"/>
      </w:divBdr>
    </w:div>
    <w:div w:id="1379627292">
      <w:bodyDiv w:val="1"/>
      <w:marLeft w:val="0"/>
      <w:marRight w:val="0"/>
      <w:marTop w:val="0"/>
      <w:marBottom w:val="0"/>
      <w:divBdr>
        <w:top w:val="none" w:sz="0" w:space="0" w:color="auto"/>
        <w:left w:val="none" w:sz="0" w:space="0" w:color="auto"/>
        <w:bottom w:val="none" w:sz="0" w:space="0" w:color="auto"/>
        <w:right w:val="none" w:sz="0" w:space="0" w:color="auto"/>
      </w:divBdr>
    </w:div>
    <w:div w:id="1733386518">
      <w:bodyDiv w:val="1"/>
      <w:marLeft w:val="0"/>
      <w:marRight w:val="0"/>
      <w:marTop w:val="0"/>
      <w:marBottom w:val="0"/>
      <w:divBdr>
        <w:top w:val="none" w:sz="0" w:space="0" w:color="auto"/>
        <w:left w:val="none" w:sz="0" w:space="0" w:color="auto"/>
        <w:bottom w:val="none" w:sz="0" w:space="0" w:color="auto"/>
        <w:right w:val="none" w:sz="0" w:space="0" w:color="auto"/>
      </w:divBdr>
    </w:div>
    <w:div w:id="205908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19</Pages>
  <Words>6594</Words>
  <Characters>37586</Characters>
  <Application>Microsoft Office Word</Application>
  <DocSecurity>0</DocSecurity>
  <Lines>313</Lines>
  <Paragraphs>88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65</cp:revision>
  <dcterms:created xsi:type="dcterms:W3CDTF">2018-09-08T12:10:00Z</dcterms:created>
  <dcterms:modified xsi:type="dcterms:W3CDTF">2018-09-17T19:38:00Z</dcterms:modified>
</cp:coreProperties>
</file>